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3724074"/>
    <w:bookmarkStart w:id="1" w:name="Title"/>
    <w:bookmarkEnd w:id="0"/>
    <w:p w14:paraId="6659B368" w14:textId="3557752C" w:rsidR="000E77D5" w:rsidRPr="00160344" w:rsidRDefault="00451AF9" w:rsidP="00AD115D">
      <w:pPr>
        <w:pStyle w:val="DDLTitle"/>
      </w:pPr>
      <w:sdt>
        <w:sdtPr>
          <w:alias w:val="Title"/>
          <w:tag w:val="Title"/>
          <w:id w:val="-912845432"/>
          <w:lock w:val="sdtLocked"/>
          <w:placeholder>
            <w:docPart w:val="F93874C70D8C44D6B0BA71800E08656C"/>
          </w:placeholder>
        </w:sdtPr>
        <w:sdtEndPr/>
        <w:sdtContent>
          <w:r w:rsidR="0000595D" w:rsidRPr="00A8203B">
            <w:rPr>
              <w:rFonts w:eastAsia="Batang"/>
              <w:color w:val="000000"/>
              <w:lang w:val="en-US"/>
            </w:rPr>
            <w:t xml:space="preserve">Investigating </w:t>
          </w:r>
          <w:r w:rsidR="005D6A45">
            <w:rPr>
              <w:rFonts w:eastAsia="Batang"/>
              <w:color w:val="000000"/>
              <w:lang w:val="en-US"/>
            </w:rPr>
            <w:t xml:space="preserve">the effect of nasal suspension rheology on API particle size and dissolution properties </w:t>
          </w:r>
          <w:r w:rsidR="0000595D" w:rsidRPr="00444A39">
            <w:rPr>
              <w:color w:val="000000"/>
            </w:rPr>
            <w:t xml:space="preserve"> </w:t>
          </w:r>
          <w:r w:rsidR="0000595D">
            <w:rPr>
              <w:color w:val="000000"/>
            </w:rPr>
            <w:t xml:space="preserve"> </w:t>
          </w:r>
        </w:sdtContent>
      </w:sdt>
      <w:bookmarkEnd w:id="1"/>
      <w:r w:rsidR="00881895">
        <w:t xml:space="preserve"> </w:t>
      </w:r>
    </w:p>
    <w:bookmarkStart w:id="2" w:name="Author"/>
    <w:p w14:paraId="1A4498F1" w14:textId="47A61BFB" w:rsidR="00C65A37" w:rsidRPr="00AD115D" w:rsidRDefault="00451AF9" w:rsidP="0000595D">
      <w:pPr>
        <w:pStyle w:val="DDLSubtitle"/>
      </w:pPr>
      <w:sdt>
        <w:sdtPr>
          <w:rPr>
            <w:u w:val="single"/>
          </w:rPr>
          <w:alias w:val="Main Author"/>
          <w:tag w:val="Main Author"/>
          <w:id w:val="854543900"/>
          <w:lock w:val="sdtLocked"/>
          <w:placeholder>
            <w:docPart w:val="38BA82FFF2774C26AC6862CFB8BB55DB"/>
          </w:placeholder>
        </w:sdtPr>
        <w:sdtEndPr/>
        <w:sdtContent>
          <w:r w:rsidR="0000595D" w:rsidRPr="0000595D">
            <w:rPr>
              <w:u w:val="single"/>
            </w:rPr>
            <w:t>Gonçalo Farias</w:t>
          </w:r>
        </w:sdtContent>
      </w:sdt>
      <w:bookmarkEnd w:id="2"/>
      <w:r w:rsidR="00676DA7" w:rsidRPr="00AD115D">
        <w:t xml:space="preserve">, </w:t>
      </w:r>
      <w:r w:rsidR="005D6A45">
        <w:t xml:space="preserve">Abel Garcia Penas, William Ganley, </w:t>
      </w:r>
      <w:r w:rsidR="0000595D" w:rsidRPr="00A8203B">
        <w:t>Robert Price</w:t>
      </w:r>
      <w:r w:rsidR="007171C8" w:rsidRPr="00A8203B">
        <w:t>,</w:t>
      </w:r>
      <w:r w:rsidR="004D2102">
        <w:t xml:space="preserve"> </w:t>
      </w:r>
      <w:proofErr w:type="spellStart"/>
      <w:r w:rsidR="004D2102">
        <w:t>B</w:t>
      </w:r>
      <w:r w:rsidR="004D2102" w:rsidRPr="004D2102">
        <w:t>enedicte</w:t>
      </w:r>
      <w:proofErr w:type="spellEnd"/>
      <w:r w:rsidR="004D2102">
        <w:t xml:space="preserve"> </w:t>
      </w:r>
      <w:r w:rsidR="004D2102" w:rsidRPr="004D2102">
        <w:t>Grosjean</w:t>
      </w:r>
      <w:r w:rsidR="004D2102">
        <w:t xml:space="preserve"> </w:t>
      </w:r>
      <w:r w:rsidR="00C65A37" w:rsidRPr="00A8203B">
        <w:t xml:space="preserve">&amp; </w:t>
      </w:r>
      <w:r w:rsidR="0000595D" w:rsidRPr="00A8203B">
        <w:t>Jagdeep Shur</w:t>
      </w:r>
    </w:p>
    <w:p w14:paraId="3B4C82F8" w14:textId="77777777" w:rsidR="009078D4" w:rsidRDefault="005D6A45" w:rsidP="009078D4">
      <w:pPr>
        <w:spacing w:after="0"/>
        <w:jc w:val="center"/>
        <w:rPr>
          <w:color w:val="000000"/>
        </w:rPr>
      </w:pPr>
      <w:r>
        <w:rPr>
          <w:color w:val="000000"/>
        </w:rPr>
        <w:t xml:space="preserve">Nanopharm Ltd, an </w:t>
      </w:r>
      <w:proofErr w:type="spellStart"/>
      <w:r>
        <w:rPr>
          <w:color w:val="000000"/>
        </w:rPr>
        <w:t>Aptar</w:t>
      </w:r>
      <w:proofErr w:type="spellEnd"/>
      <w:r>
        <w:rPr>
          <w:color w:val="000000"/>
        </w:rPr>
        <w:t xml:space="preserve"> Pharma Company, Cavendish House</w:t>
      </w:r>
      <w:r w:rsidR="004D2102">
        <w:rPr>
          <w:color w:val="000000"/>
        </w:rPr>
        <w:t>,</w:t>
      </w:r>
      <w:r>
        <w:rPr>
          <w:color w:val="000000"/>
        </w:rPr>
        <w:t xml:space="preserve"> Hazell Drive, Newport, NP10 8FY</w:t>
      </w:r>
    </w:p>
    <w:p w14:paraId="6E47B49F" w14:textId="77777777" w:rsidR="009078D4" w:rsidRDefault="009078D4" w:rsidP="009078D4">
      <w:pPr>
        <w:spacing w:after="0"/>
        <w:jc w:val="center"/>
        <w:rPr>
          <w:color w:val="000000"/>
        </w:rPr>
      </w:pPr>
    </w:p>
    <w:p w14:paraId="09436813" w14:textId="79FC5234" w:rsidR="009078D4" w:rsidRPr="009078D4" w:rsidRDefault="00C65A37" w:rsidP="009078D4">
      <w:pPr>
        <w:spacing w:after="0"/>
        <w:jc w:val="left"/>
        <w:rPr>
          <w:b/>
        </w:rPr>
      </w:pPr>
      <w:r w:rsidRPr="009078D4">
        <w:rPr>
          <w:b/>
        </w:rPr>
        <w:t>Summary</w:t>
      </w:r>
    </w:p>
    <w:p w14:paraId="193F1333" w14:textId="32FE1A7F" w:rsidR="00A8203B" w:rsidRDefault="00A8203B" w:rsidP="00172952">
      <w:pPr>
        <w:spacing w:after="0"/>
        <w:rPr>
          <w:rFonts w:eastAsia="Arial Unicode MS" w:cs="Arial"/>
        </w:rPr>
      </w:pPr>
      <w:r w:rsidRPr="00A8203B">
        <w:rPr>
          <w:rFonts w:eastAsia="Arial Unicode MS" w:cs="Arial"/>
        </w:rPr>
        <w:t xml:space="preserve">Demonstrating bioequivalence of nasal suspension sprays is a challenging task. The application of analytical tools </w:t>
      </w:r>
      <w:proofErr w:type="gramStart"/>
      <w:r w:rsidRPr="00A8203B">
        <w:rPr>
          <w:rFonts w:eastAsia="Arial Unicode MS" w:cs="Arial"/>
        </w:rPr>
        <w:t>are</w:t>
      </w:r>
      <w:proofErr w:type="gramEnd"/>
      <w:r w:rsidRPr="00A8203B">
        <w:rPr>
          <w:rFonts w:eastAsia="Arial Unicode MS" w:cs="Arial"/>
        </w:rPr>
        <w:t xml:space="preserve"> required to determine particle size of the active pharmaceutical ingredient (API) and formulation structure. This study investigated, the utility of the Morpologi-</w:t>
      </w:r>
      <w:r w:rsidRPr="004D2102">
        <w:rPr>
          <w:rFonts w:eastAsia="Arial Unicode MS" w:cs="Arial"/>
        </w:rPr>
        <w:t>M4</w:t>
      </w:r>
      <w:r w:rsidRPr="00A8203B">
        <w:rPr>
          <w:rFonts w:eastAsia="Arial Unicode MS" w:cs="Arial"/>
        </w:rPr>
        <w:t xml:space="preserve">-ID to investigate the particle size distribution (PSD) of API formulated nasal sprays. Rotational </w:t>
      </w:r>
      <w:proofErr w:type="spellStart"/>
      <w:r w:rsidRPr="00A8203B">
        <w:rPr>
          <w:rFonts w:eastAsia="Arial Unicode MS" w:cs="Arial"/>
        </w:rPr>
        <w:t>rheometry</w:t>
      </w:r>
      <w:proofErr w:type="spellEnd"/>
      <w:r w:rsidRPr="00A8203B">
        <w:rPr>
          <w:rFonts w:eastAsia="Arial Unicode MS" w:cs="Arial"/>
        </w:rPr>
        <w:t xml:space="preserve"> was used to investigate formulation structure. A systematic approach was utilised to develop a robust method for the analysis of the PSD of Mometasone </w:t>
      </w:r>
      <w:proofErr w:type="spellStart"/>
      <w:r w:rsidRPr="00A8203B">
        <w:rPr>
          <w:rFonts w:eastAsia="Arial Unicode MS" w:cs="Arial"/>
        </w:rPr>
        <w:t>fuorate</w:t>
      </w:r>
      <w:proofErr w:type="spellEnd"/>
      <w:r w:rsidRPr="00A8203B">
        <w:rPr>
          <w:rFonts w:eastAsia="Arial Unicode MS" w:cs="Arial"/>
        </w:rPr>
        <w:t xml:space="preserve"> in </w:t>
      </w:r>
      <w:r w:rsidR="00D12F7B">
        <w:rPr>
          <w:rFonts w:eastAsia="Arial Unicode MS" w:cs="Arial"/>
        </w:rPr>
        <w:t>five</w:t>
      </w:r>
      <w:r w:rsidRPr="00A8203B">
        <w:rPr>
          <w:rFonts w:eastAsia="Arial Unicode MS" w:cs="Arial"/>
        </w:rPr>
        <w:t xml:space="preserve"> test formulations containing </w:t>
      </w:r>
      <w:r w:rsidR="00D12F7B">
        <w:rPr>
          <w:rFonts w:eastAsia="Arial Unicode MS" w:cs="Arial"/>
        </w:rPr>
        <w:t xml:space="preserve">different concentrations of </w:t>
      </w:r>
      <w:proofErr w:type="spellStart"/>
      <w:r w:rsidR="00D12F7B">
        <w:rPr>
          <w:rFonts w:eastAsia="Arial Unicode MS" w:cs="Arial"/>
        </w:rPr>
        <w:t>Avicel</w:t>
      </w:r>
      <w:proofErr w:type="spellEnd"/>
      <w:r w:rsidRPr="00A8203B">
        <w:rPr>
          <w:rFonts w:eastAsia="Arial Unicode MS" w:cs="Arial"/>
        </w:rPr>
        <w:t xml:space="preserve">. Rheometric measurements were sensitive to variations in the </w:t>
      </w:r>
      <w:proofErr w:type="spellStart"/>
      <w:r w:rsidRPr="00A8203B">
        <w:rPr>
          <w:rFonts w:eastAsia="Arial Unicode MS" w:cs="Arial"/>
        </w:rPr>
        <w:t>Avicel</w:t>
      </w:r>
      <w:proofErr w:type="spellEnd"/>
      <w:r w:rsidRPr="00A8203B">
        <w:rPr>
          <w:rFonts w:eastAsia="Arial Unicode MS" w:cs="Arial"/>
        </w:rPr>
        <w:t xml:space="preserve"> content and at lower concentration than Nasonex exhibited different gel-like and shear thinning properties.  </w:t>
      </w:r>
      <w:r w:rsidR="009078D4">
        <w:rPr>
          <w:rFonts w:eastAsia="Arial Unicode MS" w:cs="Arial"/>
        </w:rPr>
        <w:t>T</w:t>
      </w:r>
      <w:r w:rsidRPr="00A8203B">
        <w:rPr>
          <w:rFonts w:eastAsia="Arial Unicode MS" w:cs="Arial"/>
        </w:rPr>
        <w:t>ogether</w:t>
      </w:r>
      <w:r w:rsidR="009078D4">
        <w:rPr>
          <w:rFonts w:eastAsia="Arial Unicode MS" w:cs="Arial"/>
        </w:rPr>
        <w:t>,</w:t>
      </w:r>
      <w:r w:rsidRPr="00A8203B">
        <w:rPr>
          <w:rFonts w:eastAsia="Arial Unicode MS" w:cs="Arial"/>
        </w:rPr>
        <w:t xml:space="preserve"> these analytical methods may facilitate the determination of critical material and process attributes that may </w:t>
      </w:r>
      <w:r w:rsidRPr="004D2102">
        <w:rPr>
          <w:rFonts w:eastAsia="Arial Unicode MS" w:cs="Arial"/>
        </w:rPr>
        <w:t>affect</w:t>
      </w:r>
      <w:r w:rsidRPr="00A8203B">
        <w:rPr>
          <w:rFonts w:eastAsia="Arial Unicode MS" w:cs="Arial"/>
        </w:rPr>
        <w:t xml:space="preserve"> drug product quality.</w:t>
      </w:r>
    </w:p>
    <w:p w14:paraId="42A36B48" w14:textId="77777777" w:rsidR="009078D4" w:rsidRDefault="009078D4" w:rsidP="00172952">
      <w:pPr>
        <w:spacing w:after="0"/>
        <w:rPr>
          <w:rFonts w:eastAsia="Arial Unicode MS" w:cs="Arial"/>
        </w:rPr>
      </w:pPr>
    </w:p>
    <w:p w14:paraId="1257737D" w14:textId="3FF63D14" w:rsidR="009078D4" w:rsidRDefault="009078D4" w:rsidP="00172952">
      <w:pPr>
        <w:spacing w:after="0"/>
        <w:rPr>
          <w:rFonts w:eastAsia="Arial Unicode MS" w:cs="Arial"/>
          <w:b/>
        </w:rPr>
      </w:pPr>
      <w:r w:rsidRPr="00172952">
        <w:rPr>
          <w:rFonts w:eastAsia="Arial Unicode MS" w:cs="Arial"/>
          <w:b/>
        </w:rPr>
        <w:t>Key Message</w:t>
      </w:r>
    </w:p>
    <w:p w14:paraId="06247EA6" w14:textId="77777777" w:rsidR="009078D4" w:rsidRDefault="009078D4" w:rsidP="00172952">
      <w:pPr>
        <w:spacing w:after="0"/>
        <w:rPr>
          <w:rFonts w:eastAsia="Arial Unicode MS" w:cs="Arial"/>
          <w:b/>
        </w:rPr>
      </w:pPr>
    </w:p>
    <w:p w14:paraId="2D23D3A9" w14:textId="22CB7EE9" w:rsidR="00E357B9" w:rsidRPr="00E357B9" w:rsidRDefault="003C05BA" w:rsidP="00172952">
      <w:pPr>
        <w:spacing w:after="0"/>
        <w:rPr>
          <w:rFonts w:eastAsia="Arial Unicode MS" w:cs="Arial"/>
          <w:bCs/>
          <w:lang w:val="en-US"/>
        </w:rPr>
      </w:pPr>
      <w:r>
        <w:rPr>
          <w:rFonts w:eastAsia="Arial Unicode MS" w:cs="Arial"/>
          <w:bCs/>
          <w:lang w:val="en-US"/>
        </w:rPr>
        <w:t>Four nasal suspe</w:t>
      </w:r>
      <w:r w:rsidR="007F0CDB">
        <w:rPr>
          <w:rFonts w:eastAsia="Arial Unicode MS" w:cs="Arial"/>
          <w:bCs/>
          <w:lang w:val="en-US"/>
        </w:rPr>
        <w:t xml:space="preserve">nsions with different concentrations of </w:t>
      </w:r>
      <w:proofErr w:type="spellStart"/>
      <w:r w:rsidR="007F0CDB">
        <w:rPr>
          <w:rFonts w:eastAsia="Arial Unicode MS" w:cs="Arial"/>
          <w:bCs/>
          <w:lang w:val="en-US"/>
        </w:rPr>
        <w:t>Avicel</w:t>
      </w:r>
      <w:proofErr w:type="spellEnd"/>
      <w:r w:rsidR="007F0CDB">
        <w:rPr>
          <w:rFonts w:eastAsia="Arial Unicode MS" w:cs="Arial"/>
          <w:bCs/>
          <w:lang w:val="en-US"/>
        </w:rPr>
        <w:t xml:space="preserve"> were formulated. The concentration of </w:t>
      </w:r>
      <w:proofErr w:type="spellStart"/>
      <w:r w:rsidR="007F0CDB">
        <w:rPr>
          <w:rFonts w:eastAsia="Arial Unicode MS" w:cs="Arial"/>
          <w:bCs/>
          <w:lang w:val="en-US"/>
        </w:rPr>
        <w:t>Avicel</w:t>
      </w:r>
      <w:proofErr w:type="spellEnd"/>
      <w:r w:rsidR="007F0CDB">
        <w:rPr>
          <w:rFonts w:eastAsia="Arial Unicode MS" w:cs="Arial"/>
          <w:bCs/>
          <w:lang w:val="en-US"/>
        </w:rPr>
        <w:t xml:space="preserve"> has a major impact on the rheology properties and particle morphology of the formulations and, consequently, on the droplet size distribution. No effect was observed for </w:t>
      </w:r>
      <w:bookmarkStart w:id="3" w:name="_GoBack"/>
      <w:bookmarkEnd w:id="3"/>
      <w:r w:rsidR="007F0CDB">
        <w:rPr>
          <w:rFonts w:eastAsia="Arial Unicode MS" w:cs="Arial"/>
          <w:bCs/>
          <w:lang w:val="en-US"/>
        </w:rPr>
        <w:t>API particle size distribution and dissolution profile.</w:t>
      </w:r>
    </w:p>
    <w:p w14:paraId="51C325A8" w14:textId="77777777" w:rsidR="009078D4" w:rsidRPr="009078D4" w:rsidRDefault="009078D4" w:rsidP="00172952">
      <w:pPr>
        <w:spacing w:after="0"/>
        <w:rPr>
          <w:rFonts w:eastAsia="Arial Unicode MS" w:cs="Arial"/>
          <w:b/>
          <w:bCs/>
        </w:rPr>
      </w:pPr>
    </w:p>
    <w:p w14:paraId="7BE03D6D" w14:textId="77777777" w:rsidR="00C65A37" w:rsidRPr="004D2102" w:rsidRDefault="00C65A37" w:rsidP="00D156FE">
      <w:pPr>
        <w:pStyle w:val="DDLHeading1"/>
      </w:pPr>
      <w:r w:rsidRPr="004D2102">
        <w:t>Introduction</w:t>
      </w:r>
    </w:p>
    <w:p w14:paraId="4020115C" w14:textId="04DAC149" w:rsidR="005D6A45" w:rsidRPr="005D6A45" w:rsidRDefault="005D6A45" w:rsidP="005D6A45">
      <w:pPr>
        <w:pStyle w:val="DDLHeading1"/>
        <w:rPr>
          <w:rFonts w:eastAsia="Arial Unicode MS" w:cs="Arial"/>
          <w:b w:val="0"/>
          <w:bCs w:val="0"/>
        </w:rPr>
      </w:pPr>
      <w:r w:rsidRPr="005D6A45">
        <w:rPr>
          <w:rFonts w:eastAsia="Arial Unicode MS" w:cs="Arial"/>
          <w:b w:val="0"/>
          <w:bCs w:val="0"/>
        </w:rPr>
        <w:t>Nasal suspension drug products consist of API particles suspended in an aqueous system in the presence of a range of different excipients. For suspension nasal products, the API particle size</w:t>
      </w:r>
      <w:r w:rsidR="00F339D1">
        <w:rPr>
          <w:rFonts w:eastAsia="Arial Unicode MS" w:cs="Arial"/>
          <w:b w:val="0"/>
          <w:bCs w:val="0"/>
        </w:rPr>
        <w:t>, usually between 1-5µm,</w:t>
      </w:r>
      <w:r w:rsidRPr="005D6A45">
        <w:rPr>
          <w:rFonts w:eastAsia="Arial Unicode MS" w:cs="Arial"/>
          <w:b w:val="0"/>
          <w:bCs w:val="0"/>
        </w:rPr>
        <w:t xml:space="preserve"> is a key critical material attribute, which will affect emitted API and regional deposition of API in the nose. In addition, the particle size of the API will affect the rate of dissolution and permeability at site of deposition in the nasal epithelium and thereby systemic exposure of the API from the nose. The paucity of validated methods for characteri</w:t>
      </w:r>
      <w:r w:rsidR="005C38AC">
        <w:rPr>
          <w:rFonts w:eastAsia="Arial Unicode MS" w:cs="Arial"/>
          <w:b w:val="0"/>
          <w:bCs w:val="0"/>
        </w:rPr>
        <w:t>s</w:t>
      </w:r>
      <w:r w:rsidRPr="005D6A45">
        <w:rPr>
          <w:rFonts w:eastAsia="Arial Unicode MS" w:cs="Arial"/>
          <w:b w:val="0"/>
          <w:bCs w:val="0"/>
        </w:rPr>
        <w:t xml:space="preserve">ing API-specific drug particle size and particle size distribution (PSD) in nasal formulations has resulted in limited understanding of the relationship between API PSD, regional deposition in the nasal cavity, dissolution and absorption of the API from the nose. </w:t>
      </w:r>
    </w:p>
    <w:p w14:paraId="2946C420" w14:textId="77777777" w:rsidR="005D6A45" w:rsidRPr="005D6A45" w:rsidRDefault="005D6A45" w:rsidP="005D6A45">
      <w:pPr>
        <w:pStyle w:val="DDLHeading1"/>
        <w:rPr>
          <w:rFonts w:eastAsia="Arial Unicode MS" w:cs="Arial"/>
          <w:b w:val="0"/>
          <w:bCs w:val="0"/>
        </w:rPr>
      </w:pPr>
      <w:r w:rsidRPr="005D6A45">
        <w:rPr>
          <w:rFonts w:eastAsia="Arial Unicode MS" w:cs="Arial"/>
          <w:b w:val="0"/>
          <w:bCs w:val="0"/>
        </w:rPr>
        <w:t>Although drug particle size distribution (PSD) can be readily determined by a number of methods prior to formulation into a finished product, the primary challenge has been to determine the PSD of the drug substance in the finished nasal aqueous suspension products in the presence of undissolved excipients. Excipients such as microcrystalline cellulose typically have a median particle size that is larger than the API. However, excipients often exhibit a broad PSD and a substantial number of excipient particles may exist in the same size range as the drug substance, thus complicating drug substance particle size determination.</w:t>
      </w:r>
    </w:p>
    <w:p w14:paraId="1ADEC0F7" w14:textId="4A597110" w:rsidR="005D6A45" w:rsidRPr="005D6A45" w:rsidRDefault="005D6A45" w:rsidP="005D6A45">
      <w:pPr>
        <w:pStyle w:val="DDLHeading1"/>
        <w:rPr>
          <w:rFonts w:eastAsia="Arial Unicode MS" w:cs="Arial"/>
          <w:b w:val="0"/>
          <w:bCs w:val="0"/>
        </w:rPr>
      </w:pPr>
      <w:r w:rsidRPr="005D6A45">
        <w:rPr>
          <w:rFonts w:eastAsia="Arial Unicode MS" w:cs="Arial"/>
          <w:b w:val="0"/>
          <w:bCs w:val="0"/>
        </w:rPr>
        <w:t xml:space="preserve">Morphology-Directed Raman Spectroscopy (MDRS) is a promising approach for characterising particle size of API in aqueous nasal spray suspension formulations. This approach potentially allows the chemical identification of API in situ within complex nasal formulations which can directly benefit the BE requirements for ANDAs. </w:t>
      </w:r>
    </w:p>
    <w:p w14:paraId="793E7B86" w14:textId="74EC1F29" w:rsidR="005D6A45" w:rsidRPr="004D2102" w:rsidRDefault="005D6A45" w:rsidP="005D6A45">
      <w:pPr>
        <w:pStyle w:val="DDLHeading1"/>
        <w:rPr>
          <w:rFonts w:eastAsia="Arial Unicode MS" w:cs="Arial"/>
          <w:b w:val="0"/>
          <w:bCs w:val="0"/>
          <w:kern w:val="0"/>
          <w:szCs w:val="20"/>
        </w:rPr>
      </w:pPr>
      <w:r w:rsidRPr="004D2102">
        <w:rPr>
          <w:rFonts w:eastAsia="Arial Unicode MS" w:cs="Arial"/>
          <w:b w:val="0"/>
          <w:bCs w:val="0"/>
          <w:kern w:val="0"/>
          <w:szCs w:val="20"/>
        </w:rPr>
        <w:t>The device, formulation, and manner by which the patient actuates the nasal spray pump are the three factors that generally determine the properties of the emitted spray. Aqueous suspension nasal sprays exhibit the behaviour of shear thinning, which is as result of the cross-linking of microcrystalline cellulose (MCC) and carboxymethyl cellulose (CMC) in aqueous media. The interaction between MCC and CMC help to aid suspension of the API in the formulation, which form a gel-like consistency that breaks down under the shear generated during dose delivery through the nasal spray pump nozzle. Hence, variation in the rheology of nasal suspension formulations will affect the gel-like state of the formulation, its shear thinning properties when actuated through the pump and re-building of the formulation structure to that of a gel post dose delivery. Measurement of the rheological characteristics of test and reference formulations may help to ensure that the formulation structure between products are similar, which also therefore ensures drug product critical quality attributes between test and reference products are similar.</w:t>
      </w:r>
    </w:p>
    <w:p w14:paraId="20FAC21F" w14:textId="4FD353B1" w:rsidR="00966CD3" w:rsidRPr="004D2102" w:rsidRDefault="00034D54" w:rsidP="005D6A45">
      <w:pPr>
        <w:pStyle w:val="DDLHeading1"/>
      </w:pPr>
      <w:r w:rsidRPr="004D2102">
        <w:t>Experimental Methods</w:t>
      </w:r>
    </w:p>
    <w:p w14:paraId="7ABAAEC9" w14:textId="38805C06" w:rsidR="00A8203B" w:rsidRDefault="00A8203B" w:rsidP="00A8203B">
      <w:pPr>
        <w:pStyle w:val="DDLBodyText"/>
        <w:rPr>
          <w:rFonts w:cs="Arial"/>
          <w:szCs w:val="18"/>
        </w:rPr>
      </w:pPr>
      <w:r w:rsidRPr="00A8203B">
        <w:rPr>
          <w:rFonts w:cs="Arial"/>
          <w:szCs w:val="18"/>
          <w:lang w:val="en-US"/>
        </w:rPr>
        <w:t xml:space="preserve">An aqueous solution of the Polysorbate 80 (0.01% w/w, Spectrum, UK) was prepared into which Mometasone Furoate (0.05% w/w, Sterling, Perugia, Italy) was dispersed by </w:t>
      </w:r>
      <w:proofErr w:type="spellStart"/>
      <w:r w:rsidRPr="00A8203B">
        <w:rPr>
          <w:rFonts w:cs="Arial"/>
          <w:szCs w:val="18"/>
          <w:lang w:val="en-US"/>
        </w:rPr>
        <w:t>homogenisation</w:t>
      </w:r>
      <w:proofErr w:type="spellEnd"/>
      <w:r w:rsidRPr="00A8203B">
        <w:rPr>
          <w:rFonts w:cs="Arial"/>
          <w:szCs w:val="18"/>
          <w:lang w:val="en-US"/>
        </w:rPr>
        <w:t xml:space="preserve">. In separate mixing vessel, the </w:t>
      </w:r>
      <w:proofErr w:type="spellStart"/>
      <w:r w:rsidRPr="00A8203B">
        <w:rPr>
          <w:rFonts w:cs="Arial"/>
          <w:szCs w:val="18"/>
          <w:lang w:val="en-US"/>
        </w:rPr>
        <w:t>Avicel</w:t>
      </w:r>
      <w:proofErr w:type="spellEnd"/>
      <w:r w:rsidRPr="00A8203B">
        <w:rPr>
          <w:rFonts w:cs="Arial"/>
          <w:szCs w:val="18"/>
          <w:lang w:val="en-US"/>
        </w:rPr>
        <w:t xml:space="preserve"> </w:t>
      </w:r>
      <w:r w:rsidRPr="00A8203B">
        <w:rPr>
          <w:rFonts w:cs="Arial"/>
          <w:szCs w:val="18"/>
        </w:rPr>
        <w:t>(</w:t>
      </w:r>
      <w:r w:rsidR="004D2102" w:rsidRPr="004D2102">
        <w:rPr>
          <w:rFonts w:cs="Arial"/>
          <w:szCs w:val="18"/>
        </w:rPr>
        <w:t>0.5 – 4.0</w:t>
      </w:r>
      <w:r w:rsidRPr="00A8203B">
        <w:rPr>
          <w:rFonts w:cs="Arial"/>
          <w:szCs w:val="18"/>
        </w:rPr>
        <w:t xml:space="preserve">% w/w, </w:t>
      </w:r>
      <w:proofErr w:type="spellStart"/>
      <w:r w:rsidRPr="00A8203B">
        <w:rPr>
          <w:rFonts w:cs="Arial"/>
          <w:szCs w:val="18"/>
        </w:rPr>
        <w:t>Avicel</w:t>
      </w:r>
      <w:proofErr w:type="spellEnd"/>
      <w:r w:rsidRPr="00A8203B">
        <w:rPr>
          <w:rFonts w:cs="Arial"/>
          <w:szCs w:val="18"/>
        </w:rPr>
        <w:t xml:space="preserve"> ® RC-591, FMC Biopolymer, Belgium) was dispersed in purified water</w:t>
      </w:r>
      <w:r w:rsidR="004D2102" w:rsidRPr="004D2102">
        <w:rPr>
          <w:rFonts w:cs="Arial"/>
          <w:szCs w:val="18"/>
        </w:rPr>
        <w:t>.</w:t>
      </w:r>
      <w:r w:rsidR="00A67F53">
        <w:rPr>
          <w:rFonts w:cs="Arial"/>
          <w:szCs w:val="18"/>
        </w:rPr>
        <w:t xml:space="preserve"> </w:t>
      </w:r>
      <w:proofErr w:type="spellStart"/>
      <w:r w:rsidR="00A67F53">
        <w:rPr>
          <w:rFonts w:cs="Arial"/>
          <w:szCs w:val="18"/>
        </w:rPr>
        <w:t>Avicel</w:t>
      </w:r>
      <w:proofErr w:type="spellEnd"/>
      <w:r w:rsidR="00A67F53">
        <w:rPr>
          <w:rFonts w:cs="Arial"/>
          <w:szCs w:val="18"/>
        </w:rPr>
        <w:t xml:space="preserve"> is the commercial designation for the combination of microcrystalline cellulose and carboxymethylcellulose</w:t>
      </w:r>
      <w:r w:rsidR="00E8098B">
        <w:rPr>
          <w:rFonts w:cs="Arial"/>
          <w:szCs w:val="18"/>
        </w:rPr>
        <w:t xml:space="preserve"> and this suspending agent was formulated with concentrations ranging from 0.5-4.0% w/w to cover </w:t>
      </w:r>
      <w:r w:rsidR="00CC6C91">
        <w:rPr>
          <w:rFonts w:cs="Arial"/>
          <w:szCs w:val="18"/>
        </w:rPr>
        <w:t xml:space="preserve">the range of </w:t>
      </w:r>
      <w:proofErr w:type="spellStart"/>
      <w:r w:rsidR="00CC6C91">
        <w:rPr>
          <w:rFonts w:cs="Arial"/>
          <w:szCs w:val="18"/>
        </w:rPr>
        <w:t>Avicel</w:t>
      </w:r>
      <w:proofErr w:type="spellEnd"/>
      <w:r w:rsidR="00CC6C91">
        <w:rPr>
          <w:rFonts w:cs="Arial"/>
          <w:szCs w:val="18"/>
        </w:rPr>
        <w:t xml:space="preserve"> concentration on marketed nasal corticosteroids. </w:t>
      </w:r>
      <w:r w:rsidRPr="00A8203B">
        <w:rPr>
          <w:rFonts w:cs="Arial"/>
          <w:szCs w:val="18"/>
        </w:rPr>
        <w:t xml:space="preserve">These two suspensions were combined by continuous stirring. </w:t>
      </w:r>
      <w:r w:rsidRPr="00A8203B">
        <w:rPr>
          <w:rFonts w:cs="Arial"/>
          <w:szCs w:val="18"/>
        </w:rPr>
        <w:lastRenderedPageBreak/>
        <w:t>Other agents such as Benzalkonium Chloride, Sodium Citrate Dihydrate and Citric Acid Monohydrate were added to the formulation (</w:t>
      </w:r>
      <w:r w:rsidRPr="00A8203B">
        <w:rPr>
          <w:rFonts w:cs="Arial"/>
          <w:szCs w:val="18"/>
          <w:lang w:val="en-US"/>
        </w:rPr>
        <w:t xml:space="preserve">Merck </w:t>
      </w:r>
      <w:proofErr w:type="spellStart"/>
      <w:r w:rsidRPr="00A8203B">
        <w:rPr>
          <w:rFonts w:cs="Arial"/>
          <w:szCs w:val="18"/>
          <w:lang w:val="en-US"/>
        </w:rPr>
        <w:t>KGaA</w:t>
      </w:r>
      <w:proofErr w:type="spellEnd"/>
      <w:r w:rsidRPr="00A8203B">
        <w:rPr>
          <w:rFonts w:cs="Arial"/>
          <w:szCs w:val="18"/>
          <w:lang w:val="en-US"/>
        </w:rPr>
        <w:t>, Darmstadt, Germany).</w:t>
      </w:r>
      <w:r w:rsidRPr="00A8203B">
        <w:rPr>
          <w:rFonts w:cs="Arial"/>
          <w:szCs w:val="18"/>
        </w:rPr>
        <w:t xml:space="preserve"> Formulations </w:t>
      </w:r>
      <w:r w:rsidR="004D2102" w:rsidRPr="004D2102">
        <w:rPr>
          <w:rFonts w:cs="Arial"/>
          <w:szCs w:val="18"/>
        </w:rPr>
        <w:t xml:space="preserve">with different concentrations of </w:t>
      </w:r>
      <w:proofErr w:type="spellStart"/>
      <w:r w:rsidR="004D2102" w:rsidRPr="004D2102">
        <w:rPr>
          <w:rFonts w:cs="Arial"/>
          <w:szCs w:val="18"/>
        </w:rPr>
        <w:t>Avicel</w:t>
      </w:r>
      <w:proofErr w:type="spellEnd"/>
      <w:r w:rsidR="004D2102" w:rsidRPr="004D2102">
        <w:rPr>
          <w:rFonts w:cs="Arial"/>
          <w:szCs w:val="18"/>
        </w:rPr>
        <w:t xml:space="preserve"> </w:t>
      </w:r>
      <w:r w:rsidRPr="00A8203B">
        <w:rPr>
          <w:rFonts w:cs="Arial"/>
          <w:szCs w:val="18"/>
        </w:rPr>
        <w:t>were filled into white HDPE bottles and fitted with a screw-on VP3 pump (18/415, Aptar Pharma, France).</w:t>
      </w:r>
    </w:p>
    <w:p w14:paraId="15472570" w14:textId="7988C86C" w:rsidR="009F3EBC" w:rsidRPr="00A8203B" w:rsidRDefault="009F3EBC" w:rsidP="00A8203B">
      <w:pPr>
        <w:pStyle w:val="DDLBodyText"/>
        <w:rPr>
          <w:rFonts w:cs="Arial"/>
          <w:szCs w:val="18"/>
        </w:rPr>
      </w:pPr>
      <w:r>
        <w:rPr>
          <w:rFonts w:cs="Arial"/>
          <w:szCs w:val="18"/>
        </w:rPr>
        <w:t xml:space="preserve">The Malvern </w:t>
      </w:r>
      <w:proofErr w:type="spellStart"/>
      <w:r>
        <w:rPr>
          <w:rFonts w:cs="Arial"/>
          <w:szCs w:val="18"/>
        </w:rPr>
        <w:t>Spraytec</w:t>
      </w:r>
      <w:proofErr w:type="spellEnd"/>
      <w:r>
        <w:rPr>
          <w:rFonts w:cs="Arial"/>
          <w:szCs w:val="18"/>
        </w:rPr>
        <w:t xml:space="preserve"> (</w:t>
      </w:r>
      <w:r w:rsidRPr="00A8203B">
        <w:rPr>
          <w:rFonts w:cs="Arial"/>
          <w:szCs w:val="18"/>
        </w:rPr>
        <w:t>M</w:t>
      </w:r>
      <w:r w:rsidRPr="009F3EBC">
        <w:rPr>
          <w:rFonts w:cs="Arial"/>
          <w:szCs w:val="18"/>
        </w:rPr>
        <w:t xml:space="preserve">alvern </w:t>
      </w:r>
      <w:proofErr w:type="spellStart"/>
      <w:r>
        <w:rPr>
          <w:rFonts w:cs="Arial"/>
          <w:szCs w:val="18"/>
        </w:rPr>
        <w:t>P</w:t>
      </w:r>
      <w:r w:rsidR="00DE0039">
        <w:rPr>
          <w:rFonts w:cs="Arial"/>
          <w:szCs w:val="18"/>
        </w:rPr>
        <w:t>AN</w:t>
      </w:r>
      <w:r w:rsidRPr="009F3EBC">
        <w:rPr>
          <w:rFonts w:cs="Arial"/>
          <w:szCs w:val="18"/>
        </w:rPr>
        <w:t>alytical</w:t>
      </w:r>
      <w:proofErr w:type="spellEnd"/>
      <w:r w:rsidRPr="00A8203B">
        <w:rPr>
          <w:rFonts w:cs="Arial"/>
          <w:szCs w:val="18"/>
        </w:rPr>
        <w:t>, Worcestershire, UK</w:t>
      </w:r>
      <w:r>
        <w:rPr>
          <w:rFonts w:cs="Arial"/>
          <w:szCs w:val="18"/>
        </w:rPr>
        <w:t xml:space="preserve">) was used to determine the droplet size distributions of the formulations prepared with different </w:t>
      </w:r>
      <w:proofErr w:type="spellStart"/>
      <w:r>
        <w:rPr>
          <w:rFonts w:cs="Arial"/>
          <w:szCs w:val="18"/>
        </w:rPr>
        <w:t>Avicel</w:t>
      </w:r>
      <w:proofErr w:type="spellEnd"/>
      <w:r>
        <w:rPr>
          <w:rFonts w:cs="Arial"/>
          <w:szCs w:val="18"/>
        </w:rPr>
        <w:t xml:space="preserve"> concentrations.</w:t>
      </w:r>
    </w:p>
    <w:p w14:paraId="66D03DD8" w14:textId="641B6EE3" w:rsidR="00A8203B" w:rsidRPr="00A8203B" w:rsidRDefault="00A8203B" w:rsidP="00A8203B">
      <w:pPr>
        <w:pStyle w:val="DDLBodyText"/>
        <w:rPr>
          <w:rFonts w:cs="Arial"/>
          <w:szCs w:val="18"/>
          <w:lang w:val="en-US"/>
        </w:rPr>
      </w:pPr>
      <w:r w:rsidRPr="00A8203B">
        <w:rPr>
          <w:rFonts w:cs="Arial"/>
          <w:i/>
          <w:szCs w:val="18"/>
          <w:lang w:val="en-US"/>
        </w:rPr>
        <w:t>In-situ Particle Sizing and Morphology Analysis of Nasal Suspensions using Morphologi-</w:t>
      </w:r>
      <w:r w:rsidR="004D2102" w:rsidRPr="009F3EBC">
        <w:rPr>
          <w:rFonts w:cs="Arial"/>
          <w:i/>
          <w:szCs w:val="18"/>
          <w:lang w:val="en-US"/>
        </w:rPr>
        <w:t>M4</w:t>
      </w:r>
      <w:r w:rsidRPr="00A8203B">
        <w:rPr>
          <w:rFonts w:cs="Arial"/>
          <w:i/>
          <w:szCs w:val="18"/>
          <w:lang w:val="en-US"/>
        </w:rPr>
        <w:t>-ID</w:t>
      </w:r>
    </w:p>
    <w:p w14:paraId="5DE165CD" w14:textId="7563C199" w:rsidR="00A8203B" w:rsidRPr="00A8203B" w:rsidRDefault="00A8203B" w:rsidP="00A8203B">
      <w:pPr>
        <w:pStyle w:val="DDLBodyText"/>
        <w:rPr>
          <w:rFonts w:cs="Arial"/>
          <w:szCs w:val="18"/>
          <w:lang w:val="en-US"/>
        </w:rPr>
      </w:pPr>
      <w:r w:rsidRPr="00A8203B">
        <w:rPr>
          <w:rFonts w:cs="Arial"/>
          <w:szCs w:val="18"/>
        </w:rPr>
        <w:t xml:space="preserve">The morphology and particle size of API as-received and formulated into nasal suspension formulations was characterized using a </w:t>
      </w:r>
      <w:proofErr w:type="spellStart"/>
      <w:r w:rsidRPr="00A8203B">
        <w:rPr>
          <w:rFonts w:cs="Arial"/>
          <w:szCs w:val="18"/>
        </w:rPr>
        <w:t>Morphologi</w:t>
      </w:r>
      <w:proofErr w:type="spellEnd"/>
      <w:r w:rsidRPr="00A8203B">
        <w:rPr>
          <w:rFonts w:cs="Arial"/>
          <w:szCs w:val="18"/>
        </w:rPr>
        <w:t xml:space="preserve"> </w:t>
      </w:r>
      <w:r w:rsidR="004D2102" w:rsidRPr="009F3EBC">
        <w:rPr>
          <w:rFonts w:cs="Arial"/>
          <w:szCs w:val="18"/>
        </w:rPr>
        <w:t>M4</w:t>
      </w:r>
      <w:r w:rsidRPr="00A8203B">
        <w:rPr>
          <w:rFonts w:cs="Arial"/>
          <w:szCs w:val="18"/>
        </w:rPr>
        <w:t>-ID morphologically directed Raman system (</w:t>
      </w:r>
      <w:r w:rsidR="00DE0039" w:rsidRPr="00A8203B">
        <w:rPr>
          <w:rFonts w:cs="Arial"/>
          <w:szCs w:val="18"/>
        </w:rPr>
        <w:t>M</w:t>
      </w:r>
      <w:r w:rsidR="00DE0039" w:rsidRPr="009F3EBC">
        <w:rPr>
          <w:rFonts w:cs="Arial"/>
          <w:szCs w:val="18"/>
        </w:rPr>
        <w:t xml:space="preserve">alvern </w:t>
      </w:r>
      <w:proofErr w:type="spellStart"/>
      <w:r w:rsidR="00DE0039">
        <w:rPr>
          <w:rFonts w:cs="Arial"/>
          <w:szCs w:val="18"/>
        </w:rPr>
        <w:t>PAN</w:t>
      </w:r>
      <w:r w:rsidR="00DE0039" w:rsidRPr="009F3EBC">
        <w:rPr>
          <w:rFonts w:cs="Arial"/>
          <w:szCs w:val="18"/>
        </w:rPr>
        <w:t>alytical</w:t>
      </w:r>
      <w:proofErr w:type="spellEnd"/>
      <w:r w:rsidRPr="00A8203B">
        <w:rPr>
          <w:rFonts w:cs="Arial"/>
          <w:szCs w:val="18"/>
        </w:rPr>
        <w:t xml:space="preserve">, Worcestershire, UK). The method development route for analysis of as-received API and nasal formulations is shown in Figure 1, and utilises the approach of optimising sample preparation, threshold and filter setting, </w:t>
      </w:r>
      <w:r w:rsidR="00DE0039" w:rsidRPr="00A8203B">
        <w:rPr>
          <w:rFonts w:cs="Arial"/>
          <w:szCs w:val="18"/>
        </w:rPr>
        <w:t>morphological</w:t>
      </w:r>
      <w:r w:rsidRPr="00A8203B">
        <w:rPr>
          <w:rFonts w:cs="Arial"/>
          <w:szCs w:val="18"/>
        </w:rPr>
        <w:t xml:space="preserve"> and chemical analysis by Raman.</w:t>
      </w:r>
    </w:p>
    <w:p w14:paraId="2B0B5D9D" w14:textId="77777777" w:rsidR="00A8203B" w:rsidRPr="00A8203B" w:rsidRDefault="00A8203B" w:rsidP="000736F6">
      <w:pPr>
        <w:pStyle w:val="DDLBodyText"/>
        <w:jc w:val="center"/>
        <w:rPr>
          <w:rFonts w:cs="Arial"/>
          <w:szCs w:val="18"/>
        </w:rPr>
      </w:pPr>
      <w:r w:rsidRPr="00A8203B">
        <w:rPr>
          <w:rFonts w:cs="Arial"/>
          <w:noProof/>
          <w:szCs w:val="18"/>
          <w:lang w:val="de-DE" w:eastAsia="de-DE"/>
        </w:rPr>
        <w:drawing>
          <wp:inline distT="0" distB="0" distL="0" distR="0" wp14:anchorId="62485813" wp14:editId="0C67B0AA">
            <wp:extent cx="5175047" cy="207538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g.png"/>
                    <pic:cNvPicPr/>
                  </pic:nvPicPr>
                  <pic:blipFill>
                    <a:blip r:embed="rId8">
                      <a:extLst>
                        <a:ext uri="{28A0092B-C50C-407E-A947-70E740481C1C}">
                          <a14:useLocalDpi xmlns:a14="http://schemas.microsoft.com/office/drawing/2010/main" val="0"/>
                        </a:ext>
                      </a:extLst>
                    </a:blip>
                    <a:stretch>
                      <a:fillRect/>
                    </a:stretch>
                  </pic:blipFill>
                  <pic:spPr>
                    <a:xfrm>
                      <a:off x="0" y="0"/>
                      <a:ext cx="5207222" cy="2088289"/>
                    </a:xfrm>
                    <a:prstGeom prst="rect">
                      <a:avLst/>
                    </a:prstGeom>
                  </pic:spPr>
                </pic:pic>
              </a:graphicData>
            </a:graphic>
          </wp:inline>
        </w:drawing>
      </w:r>
    </w:p>
    <w:p w14:paraId="6E131857" w14:textId="77777777" w:rsidR="00A8203B" w:rsidRPr="00A8203B" w:rsidRDefault="00A8203B" w:rsidP="00A8203B">
      <w:pPr>
        <w:pStyle w:val="DDLBodyText"/>
        <w:rPr>
          <w:rFonts w:cs="Arial"/>
          <w:b/>
          <w:bCs/>
          <w:szCs w:val="18"/>
        </w:rPr>
      </w:pPr>
      <w:r w:rsidRPr="00A8203B">
        <w:rPr>
          <w:rFonts w:cs="Arial"/>
          <w:b/>
          <w:bCs/>
          <w:szCs w:val="18"/>
        </w:rPr>
        <w:t>Figure 1. Process diagram of the method development stages for the particle sizing of nasal suspension formulations.</w:t>
      </w:r>
    </w:p>
    <w:p w14:paraId="6D99A64E" w14:textId="272890BA" w:rsidR="00A8203B" w:rsidRPr="00A8203B" w:rsidRDefault="00A8203B" w:rsidP="00A8203B">
      <w:pPr>
        <w:pStyle w:val="DDLBodyText"/>
        <w:rPr>
          <w:rFonts w:cs="Arial"/>
          <w:szCs w:val="18"/>
        </w:rPr>
      </w:pPr>
      <w:r w:rsidRPr="00A8203B">
        <w:rPr>
          <w:rFonts w:cs="Arial"/>
          <w:szCs w:val="18"/>
        </w:rPr>
        <w:t xml:space="preserve">Before the chemical analysis, a nasal formulation was compared with a placebo in order to identify particle morphology filters that could be used to improve the targeting of API particles with chemical analysis. Figure 2 shows that </w:t>
      </w:r>
      <w:r w:rsidR="009F3EBC" w:rsidRPr="009F3EBC">
        <w:rPr>
          <w:rFonts w:cs="Arial"/>
          <w:szCs w:val="18"/>
        </w:rPr>
        <w:t xml:space="preserve">increasing the </w:t>
      </w:r>
      <w:proofErr w:type="spellStart"/>
      <w:r w:rsidR="009F3EBC" w:rsidRPr="009F3EBC">
        <w:rPr>
          <w:rFonts w:cs="Arial"/>
          <w:szCs w:val="18"/>
        </w:rPr>
        <w:t>Avicel</w:t>
      </w:r>
      <w:proofErr w:type="spellEnd"/>
      <w:r w:rsidR="009F3EBC" w:rsidRPr="009F3EBC">
        <w:rPr>
          <w:rFonts w:cs="Arial"/>
          <w:szCs w:val="18"/>
        </w:rPr>
        <w:t xml:space="preserve"> content increased the presence of elongated </w:t>
      </w:r>
      <w:proofErr w:type="gramStart"/>
      <w:r w:rsidR="009F3EBC" w:rsidRPr="009F3EBC">
        <w:rPr>
          <w:rFonts w:cs="Arial"/>
          <w:szCs w:val="18"/>
        </w:rPr>
        <w:t>particles, but</w:t>
      </w:r>
      <w:proofErr w:type="gramEnd"/>
      <w:r w:rsidR="009F3EBC" w:rsidRPr="009F3EBC">
        <w:rPr>
          <w:rFonts w:cs="Arial"/>
          <w:szCs w:val="18"/>
        </w:rPr>
        <w:t xml:space="preserve"> did</w:t>
      </w:r>
      <w:r w:rsidR="00DE0039">
        <w:rPr>
          <w:rFonts w:cs="Arial"/>
          <w:szCs w:val="18"/>
        </w:rPr>
        <w:t xml:space="preserve"> not</w:t>
      </w:r>
      <w:r w:rsidR="009F3EBC" w:rsidRPr="009F3EBC">
        <w:rPr>
          <w:rFonts w:cs="Arial"/>
          <w:szCs w:val="18"/>
        </w:rPr>
        <w:t xml:space="preserve"> change the requirement of the filter to be set between 0.30 – 0.46. </w:t>
      </w:r>
    </w:p>
    <w:p w14:paraId="3A8E0356" w14:textId="427F99EE" w:rsidR="00A8203B" w:rsidRPr="00A8203B" w:rsidRDefault="00A06312" w:rsidP="004D2102">
      <w:pPr>
        <w:pStyle w:val="DDLBodyText"/>
        <w:jc w:val="center"/>
        <w:rPr>
          <w:rFonts w:cs="Arial"/>
          <w:szCs w:val="18"/>
          <w:highlight w:val="yellow"/>
        </w:rPr>
      </w:pPr>
      <w:r>
        <w:rPr>
          <w:rFonts w:cs="Arial"/>
          <w:noProof/>
          <w:szCs w:val="18"/>
          <w:highlight w:val="yellow"/>
        </w:rPr>
        <w:drawing>
          <wp:inline distT="0" distB="0" distL="0" distR="0" wp14:anchorId="051685F0" wp14:editId="3FA5461D">
            <wp:extent cx="3333600" cy="203994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3600" cy="2039946"/>
                    </a:xfrm>
                    <a:prstGeom prst="rect">
                      <a:avLst/>
                    </a:prstGeom>
                    <a:noFill/>
                  </pic:spPr>
                </pic:pic>
              </a:graphicData>
            </a:graphic>
          </wp:inline>
        </w:drawing>
      </w:r>
    </w:p>
    <w:p w14:paraId="7522BD9A" w14:textId="22606FE3" w:rsidR="00A8203B" w:rsidRPr="00A8203B" w:rsidRDefault="00A8203B" w:rsidP="00A8203B">
      <w:pPr>
        <w:pStyle w:val="DDLBodyText"/>
        <w:rPr>
          <w:rFonts w:cs="Arial"/>
          <w:b/>
          <w:bCs/>
          <w:szCs w:val="18"/>
        </w:rPr>
      </w:pPr>
      <w:r w:rsidRPr="00A8203B">
        <w:rPr>
          <w:rFonts w:cs="Arial"/>
          <w:b/>
          <w:bCs/>
          <w:szCs w:val="18"/>
        </w:rPr>
        <w:t xml:space="preserve">Figure 2. Comparison of the elongation distribution graph of </w:t>
      </w:r>
      <w:r w:rsidR="004D2102" w:rsidRPr="00DE1286">
        <w:rPr>
          <w:rFonts w:cs="Arial"/>
          <w:b/>
          <w:bCs/>
          <w:szCs w:val="18"/>
        </w:rPr>
        <w:t xml:space="preserve">formulations containing different </w:t>
      </w:r>
      <w:proofErr w:type="spellStart"/>
      <w:r w:rsidR="004D2102" w:rsidRPr="00DE1286">
        <w:rPr>
          <w:rFonts w:cs="Arial"/>
          <w:b/>
          <w:bCs/>
          <w:szCs w:val="18"/>
        </w:rPr>
        <w:t>Avicel</w:t>
      </w:r>
      <w:proofErr w:type="spellEnd"/>
      <w:r w:rsidR="004D2102" w:rsidRPr="00DE1286">
        <w:rPr>
          <w:rFonts w:cs="Arial"/>
          <w:b/>
          <w:bCs/>
          <w:szCs w:val="18"/>
        </w:rPr>
        <w:t xml:space="preserve"> concentrations. </w:t>
      </w:r>
    </w:p>
    <w:p w14:paraId="50D0A219" w14:textId="0CC02C82" w:rsidR="00A8203B" w:rsidRPr="00A8203B" w:rsidRDefault="00A8203B" w:rsidP="00A8203B">
      <w:pPr>
        <w:pStyle w:val="DDLBodyText"/>
        <w:rPr>
          <w:rFonts w:cs="Arial"/>
          <w:szCs w:val="18"/>
        </w:rPr>
      </w:pPr>
      <w:r w:rsidRPr="00A8203B">
        <w:rPr>
          <w:rFonts w:cs="Arial"/>
          <w:szCs w:val="18"/>
        </w:rPr>
        <w:t xml:space="preserve">Upon applying these filters, the chemical analysis was carried out using the Kaiser Optical Systems RamanRxn1 Spectrometer integrated in the </w:t>
      </w:r>
      <w:proofErr w:type="spellStart"/>
      <w:r w:rsidRPr="00A8203B">
        <w:rPr>
          <w:rFonts w:cs="Arial"/>
          <w:szCs w:val="18"/>
        </w:rPr>
        <w:t>Morphologi</w:t>
      </w:r>
      <w:proofErr w:type="spellEnd"/>
      <w:r w:rsidRPr="00A8203B">
        <w:rPr>
          <w:rFonts w:cs="Arial"/>
          <w:szCs w:val="18"/>
        </w:rPr>
        <w:t xml:space="preserve"> </w:t>
      </w:r>
      <w:r w:rsidR="009F3EBC" w:rsidRPr="009F3EBC">
        <w:rPr>
          <w:rFonts w:cs="Arial"/>
          <w:szCs w:val="18"/>
        </w:rPr>
        <w:t>M4-</w:t>
      </w:r>
      <w:r w:rsidRPr="00A8203B">
        <w:rPr>
          <w:rFonts w:cs="Arial"/>
          <w:szCs w:val="18"/>
        </w:rPr>
        <w:t>ID equipment. The Raman spectrum for each of the particles of the same scanning area was collected using 60 s of exposure time with excitation at a wavelength of 785 nm over the spectral range of 100–1825 cm</w:t>
      </w:r>
      <w:r w:rsidRPr="00A8203B">
        <w:rPr>
          <w:rFonts w:cs="Arial"/>
          <w:szCs w:val="18"/>
          <w:vertAlign w:val="superscript"/>
        </w:rPr>
        <w:t>-1</w:t>
      </w:r>
      <w:r w:rsidRPr="00A8203B">
        <w:rPr>
          <w:rFonts w:cs="Arial"/>
          <w:szCs w:val="18"/>
        </w:rPr>
        <w:t xml:space="preserve"> at a resolution of 4 cm</w:t>
      </w:r>
      <w:r w:rsidRPr="00A8203B">
        <w:rPr>
          <w:rFonts w:cs="Arial"/>
          <w:szCs w:val="18"/>
          <w:vertAlign w:val="superscript"/>
        </w:rPr>
        <w:t>-1</w:t>
      </w:r>
      <w:r w:rsidRPr="00A8203B">
        <w:rPr>
          <w:rFonts w:cs="Arial"/>
          <w:szCs w:val="18"/>
        </w:rPr>
        <w:t xml:space="preserve">. </w:t>
      </w:r>
    </w:p>
    <w:p w14:paraId="6EE77B4F" w14:textId="77777777" w:rsidR="00A8203B" w:rsidRPr="00A8203B" w:rsidRDefault="00A8203B" w:rsidP="00A8203B">
      <w:pPr>
        <w:pStyle w:val="DDLBodyText"/>
        <w:rPr>
          <w:rFonts w:cs="Arial"/>
          <w:i/>
          <w:szCs w:val="18"/>
          <w:lang w:val="en-US"/>
        </w:rPr>
      </w:pPr>
      <w:proofErr w:type="spellStart"/>
      <w:r w:rsidRPr="00A8203B">
        <w:rPr>
          <w:rFonts w:cs="Arial"/>
          <w:i/>
          <w:szCs w:val="18"/>
          <w:lang w:val="en-US"/>
        </w:rPr>
        <w:t>Characterisation</w:t>
      </w:r>
      <w:proofErr w:type="spellEnd"/>
      <w:r w:rsidRPr="00A8203B">
        <w:rPr>
          <w:rFonts w:cs="Arial"/>
          <w:i/>
          <w:szCs w:val="18"/>
          <w:lang w:val="en-US"/>
        </w:rPr>
        <w:t xml:space="preserve"> of Nasal Spray Formulations Using Rotational </w:t>
      </w:r>
      <w:proofErr w:type="spellStart"/>
      <w:r w:rsidRPr="00A8203B">
        <w:rPr>
          <w:rFonts w:cs="Arial"/>
          <w:i/>
          <w:szCs w:val="18"/>
          <w:lang w:val="en-US"/>
        </w:rPr>
        <w:t>Rheometry</w:t>
      </w:r>
      <w:proofErr w:type="spellEnd"/>
    </w:p>
    <w:p w14:paraId="41728AEC" w14:textId="7DD7F7E0" w:rsidR="00A8203B" w:rsidRPr="00A8203B" w:rsidRDefault="00A8203B" w:rsidP="00A8203B">
      <w:pPr>
        <w:pStyle w:val="DDLBodyText"/>
        <w:rPr>
          <w:rFonts w:cs="Arial"/>
          <w:szCs w:val="18"/>
          <w:lang w:val="en-US"/>
        </w:rPr>
      </w:pPr>
      <w:r w:rsidRPr="00A8203B">
        <w:rPr>
          <w:rFonts w:cs="Arial"/>
          <w:szCs w:val="18"/>
          <w:lang w:val="en-US"/>
        </w:rPr>
        <w:t xml:space="preserve">The rheology of </w:t>
      </w:r>
      <w:r w:rsidR="009F3EBC" w:rsidRPr="00DE0039">
        <w:rPr>
          <w:rFonts w:cs="Arial"/>
          <w:szCs w:val="18"/>
          <w:lang w:val="en-US"/>
        </w:rPr>
        <w:t xml:space="preserve">test formulations with different </w:t>
      </w:r>
      <w:proofErr w:type="spellStart"/>
      <w:r w:rsidR="009F3EBC" w:rsidRPr="00DE0039">
        <w:rPr>
          <w:rFonts w:cs="Arial"/>
          <w:szCs w:val="18"/>
          <w:lang w:val="en-US"/>
        </w:rPr>
        <w:t>Avicel</w:t>
      </w:r>
      <w:proofErr w:type="spellEnd"/>
      <w:r w:rsidR="009F3EBC" w:rsidRPr="00DE0039">
        <w:rPr>
          <w:rFonts w:cs="Arial"/>
          <w:szCs w:val="18"/>
          <w:lang w:val="en-US"/>
        </w:rPr>
        <w:t xml:space="preserve"> concentrations</w:t>
      </w:r>
      <w:r w:rsidRPr="00A8203B">
        <w:rPr>
          <w:rFonts w:cs="Arial"/>
          <w:szCs w:val="18"/>
          <w:lang w:val="en-US"/>
        </w:rPr>
        <w:t xml:space="preserve"> was evaluated at 25</w:t>
      </w:r>
      <w:r w:rsidR="00B00481">
        <w:rPr>
          <w:rFonts w:cs="Arial"/>
          <w:szCs w:val="18"/>
          <w:lang w:val="en-US"/>
        </w:rPr>
        <w:t> </w:t>
      </w:r>
      <w:r w:rsidRPr="00A8203B">
        <w:rPr>
          <w:rFonts w:cs="Arial"/>
          <w:szCs w:val="18"/>
          <w:lang w:val="en-US"/>
        </w:rPr>
        <w:t>°C using a Malvern controlled stress rheometer with concentric cylinder geometry (</w:t>
      </w:r>
      <w:proofErr w:type="spellStart"/>
      <w:r w:rsidRPr="00A8203B">
        <w:rPr>
          <w:rFonts w:cs="Arial"/>
          <w:szCs w:val="18"/>
          <w:lang w:val="en-US"/>
        </w:rPr>
        <w:t>Kinexus</w:t>
      </w:r>
      <w:proofErr w:type="spellEnd"/>
      <w:r w:rsidRPr="00A8203B">
        <w:rPr>
          <w:rFonts w:cs="Arial"/>
          <w:szCs w:val="18"/>
          <w:lang w:val="en-US"/>
        </w:rPr>
        <w:t xml:space="preserve">, </w:t>
      </w:r>
      <w:r w:rsidR="00DE0039" w:rsidRPr="00A8203B">
        <w:rPr>
          <w:rFonts w:cs="Arial"/>
          <w:szCs w:val="18"/>
        </w:rPr>
        <w:t>M</w:t>
      </w:r>
      <w:r w:rsidR="00DE0039" w:rsidRPr="00DE0039">
        <w:rPr>
          <w:rFonts w:cs="Arial"/>
          <w:szCs w:val="18"/>
        </w:rPr>
        <w:t xml:space="preserve">alvern </w:t>
      </w:r>
      <w:proofErr w:type="spellStart"/>
      <w:r w:rsidR="00DE0039" w:rsidRPr="00DE0039">
        <w:rPr>
          <w:rFonts w:cs="Arial"/>
          <w:szCs w:val="18"/>
        </w:rPr>
        <w:t>PANalytical</w:t>
      </w:r>
      <w:proofErr w:type="spellEnd"/>
      <w:r w:rsidRPr="00A8203B">
        <w:rPr>
          <w:rFonts w:cs="Arial"/>
          <w:szCs w:val="18"/>
          <w:lang w:val="en-US"/>
        </w:rPr>
        <w:t xml:space="preserve">, Worcestershire, UK). </w:t>
      </w:r>
      <w:r w:rsidRPr="00A8203B">
        <w:rPr>
          <w:rFonts w:cs="Arial"/>
          <w:szCs w:val="18"/>
          <w:lang w:val="en-US"/>
        </w:rPr>
        <w:lastRenderedPageBreak/>
        <w:t>The elastic modulus and phase angle for the formulation was measured. Equilibrium viscosities at constant shear rates of 10 sec</w:t>
      </w:r>
      <w:r w:rsidRPr="00A8203B">
        <w:rPr>
          <w:rFonts w:cs="Arial"/>
          <w:szCs w:val="18"/>
          <w:vertAlign w:val="superscript"/>
          <w:lang w:val="en-US"/>
        </w:rPr>
        <w:t>-1</w:t>
      </w:r>
      <w:r w:rsidRPr="00A8203B">
        <w:rPr>
          <w:rFonts w:cs="Arial"/>
          <w:szCs w:val="18"/>
          <w:lang w:val="en-US"/>
        </w:rPr>
        <w:t>, 100 sec</w:t>
      </w:r>
      <w:r w:rsidRPr="00A8203B">
        <w:rPr>
          <w:rFonts w:cs="Arial"/>
          <w:szCs w:val="18"/>
          <w:vertAlign w:val="superscript"/>
          <w:lang w:val="en-US"/>
        </w:rPr>
        <w:t>-1</w:t>
      </w:r>
      <w:r w:rsidRPr="00A8203B">
        <w:rPr>
          <w:rFonts w:cs="Arial"/>
          <w:szCs w:val="18"/>
          <w:lang w:val="en-US"/>
        </w:rPr>
        <w:t>, or 1200 sec</w:t>
      </w:r>
      <w:r w:rsidRPr="00A8203B">
        <w:rPr>
          <w:rFonts w:cs="Arial"/>
          <w:szCs w:val="18"/>
          <w:vertAlign w:val="superscript"/>
          <w:lang w:val="en-US"/>
        </w:rPr>
        <w:t>-1</w:t>
      </w:r>
      <w:r w:rsidRPr="00A8203B">
        <w:rPr>
          <w:rFonts w:cs="Arial"/>
          <w:szCs w:val="18"/>
          <w:lang w:val="en-US"/>
        </w:rPr>
        <w:t>. For all experiments, the nasal spray was directly sprayed on to the plate directly. The sample was left to rest in the rheometer for 5 min, and the test was repeated.</w:t>
      </w:r>
      <w:r w:rsidR="009F3EBC" w:rsidRPr="00DE0039">
        <w:rPr>
          <w:rFonts w:cs="Arial"/>
          <w:szCs w:val="18"/>
          <w:lang w:val="en-US"/>
        </w:rPr>
        <w:t xml:space="preserve"> </w:t>
      </w:r>
      <w:r w:rsidRPr="00A8203B">
        <w:rPr>
          <w:rFonts w:cs="Arial"/>
          <w:szCs w:val="18"/>
          <w:lang w:val="en-US"/>
        </w:rPr>
        <w:t xml:space="preserve"> </w:t>
      </w:r>
    </w:p>
    <w:p w14:paraId="2068ECA8" w14:textId="2945C29D" w:rsidR="002D20A5" w:rsidRDefault="002D20A5" w:rsidP="00A0358B">
      <w:pPr>
        <w:pStyle w:val="DDLBodyText"/>
        <w:rPr>
          <w:b/>
        </w:rPr>
      </w:pPr>
      <w:r>
        <w:rPr>
          <w:b/>
        </w:rPr>
        <w:t>Results and Discussion</w:t>
      </w:r>
    </w:p>
    <w:p w14:paraId="024FB34B" w14:textId="77777777" w:rsidR="00233697" w:rsidRPr="002D20A5" w:rsidRDefault="00233697" w:rsidP="00233697">
      <w:pPr>
        <w:pStyle w:val="DDLBodyText"/>
        <w:rPr>
          <w:b/>
        </w:rPr>
      </w:pPr>
      <w:r>
        <w:rPr>
          <w:b/>
        </w:rPr>
        <w:t>Investigation of the Microstructure of Nasal Suspensions</w:t>
      </w:r>
    </w:p>
    <w:p w14:paraId="2F7B4DD6" w14:textId="6A579816" w:rsidR="00233697" w:rsidRPr="00233697" w:rsidRDefault="00233697" w:rsidP="00233697">
      <w:pPr>
        <w:rPr>
          <w:rFonts w:cs="Arial"/>
          <w:bCs/>
          <w:szCs w:val="18"/>
        </w:rPr>
      </w:pPr>
      <w:r w:rsidRPr="00233697">
        <w:rPr>
          <w:rFonts w:cs="Arial"/>
          <w:bCs/>
          <w:szCs w:val="18"/>
        </w:rPr>
        <w:t xml:space="preserve">The rheological characteristics of </w:t>
      </w:r>
      <w:r w:rsidRPr="00DE1286">
        <w:rPr>
          <w:rFonts w:cs="Arial"/>
          <w:bCs/>
          <w:szCs w:val="18"/>
        </w:rPr>
        <w:t xml:space="preserve">test formulations containing different amounts of </w:t>
      </w:r>
      <w:proofErr w:type="spellStart"/>
      <w:r w:rsidRPr="00DE1286">
        <w:rPr>
          <w:rFonts w:cs="Arial"/>
          <w:bCs/>
          <w:szCs w:val="18"/>
        </w:rPr>
        <w:t>Avicel</w:t>
      </w:r>
      <w:proofErr w:type="spellEnd"/>
      <w:r w:rsidRPr="00233697">
        <w:rPr>
          <w:rFonts w:cs="Arial"/>
          <w:bCs/>
          <w:szCs w:val="18"/>
        </w:rPr>
        <w:t xml:space="preserve"> are shown in Table </w:t>
      </w:r>
      <w:r w:rsidRPr="00DE1286">
        <w:rPr>
          <w:rFonts w:cs="Arial"/>
          <w:bCs/>
          <w:szCs w:val="18"/>
        </w:rPr>
        <w:t>1</w:t>
      </w:r>
      <w:r w:rsidRPr="00233697">
        <w:rPr>
          <w:rFonts w:cs="Arial"/>
          <w:bCs/>
          <w:szCs w:val="18"/>
        </w:rPr>
        <w:t xml:space="preserve">. These data suggest that </w:t>
      </w:r>
      <w:r w:rsidRPr="00DE1286">
        <w:rPr>
          <w:rFonts w:cs="Arial"/>
          <w:bCs/>
          <w:szCs w:val="18"/>
        </w:rPr>
        <w:t xml:space="preserve">at </w:t>
      </w:r>
      <w:proofErr w:type="spellStart"/>
      <w:r w:rsidRPr="00DE1286">
        <w:rPr>
          <w:rFonts w:cs="Arial"/>
          <w:bCs/>
          <w:szCs w:val="18"/>
        </w:rPr>
        <w:t>Avicel</w:t>
      </w:r>
      <w:proofErr w:type="spellEnd"/>
      <w:r w:rsidRPr="00DE1286">
        <w:rPr>
          <w:rFonts w:cs="Arial"/>
          <w:bCs/>
          <w:szCs w:val="18"/>
        </w:rPr>
        <w:t xml:space="preserve"> concentrations of 0.5 and 1.00% the formulations have low elastic and viscosity contributions. Therefore, at these concentrations the formulations do not display thixotropic properties. At concentrations above 2.0%</w:t>
      </w:r>
      <w:r w:rsidR="001D4067" w:rsidRPr="00DE1286">
        <w:rPr>
          <w:rFonts w:cs="Arial"/>
          <w:bCs/>
          <w:szCs w:val="18"/>
        </w:rPr>
        <w:t xml:space="preserve"> </w:t>
      </w:r>
      <w:proofErr w:type="spellStart"/>
      <w:r w:rsidR="001D4067" w:rsidRPr="00DE1286">
        <w:rPr>
          <w:rFonts w:cs="Arial"/>
          <w:bCs/>
          <w:szCs w:val="18"/>
        </w:rPr>
        <w:t>Avicel</w:t>
      </w:r>
      <w:proofErr w:type="spellEnd"/>
      <w:r w:rsidR="001D4067" w:rsidRPr="00DE1286">
        <w:rPr>
          <w:rFonts w:cs="Arial"/>
          <w:bCs/>
          <w:szCs w:val="18"/>
        </w:rPr>
        <w:t>,</w:t>
      </w:r>
      <w:r w:rsidRPr="00DE1286">
        <w:rPr>
          <w:rFonts w:cs="Arial"/>
          <w:bCs/>
          <w:szCs w:val="18"/>
        </w:rPr>
        <w:t xml:space="preserve"> the formulations have a significant elastic and viscosity component and therefore display thixotropic properties. Droplet size distribution data shown in Figure 3 suggests that higher concentrations of </w:t>
      </w:r>
      <w:proofErr w:type="spellStart"/>
      <w:r w:rsidRPr="00DE1286">
        <w:rPr>
          <w:rFonts w:cs="Arial"/>
          <w:bCs/>
          <w:szCs w:val="18"/>
        </w:rPr>
        <w:t>Avicel</w:t>
      </w:r>
      <w:proofErr w:type="spellEnd"/>
      <w:r w:rsidRPr="00DE1286">
        <w:rPr>
          <w:rFonts w:cs="Arial"/>
          <w:bCs/>
          <w:szCs w:val="18"/>
        </w:rPr>
        <w:t xml:space="preserve"> result in larger droplet particle sizes, which is related to the thixotropic properties of the</w:t>
      </w:r>
      <w:r w:rsidR="00AF276D" w:rsidRPr="00DE1286">
        <w:rPr>
          <w:rFonts w:cs="Arial"/>
          <w:bCs/>
          <w:szCs w:val="18"/>
        </w:rPr>
        <w:t xml:space="preserve"> formulations containing higher </w:t>
      </w:r>
      <w:proofErr w:type="spellStart"/>
      <w:r w:rsidR="00AF276D" w:rsidRPr="00DE1286">
        <w:rPr>
          <w:rFonts w:cs="Arial"/>
          <w:bCs/>
          <w:szCs w:val="18"/>
        </w:rPr>
        <w:t>Avicel</w:t>
      </w:r>
      <w:proofErr w:type="spellEnd"/>
      <w:r w:rsidR="00AF276D" w:rsidRPr="00DE1286">
        <w:rPr>
          <w:rFonts w:cs="Arial"/>
          <w:bCs/>
          <w:szCs w:val="18"/>
        </w:rPr>
        <w:t xml:space="preserve"> concentrations.</w:t>
      </w:r>
      <w:r w:rsidRPr="00233697">
        <w:rPr>
          <w:rFonts w:cs="Arial"/>
          <w:bCs/>
          <w:szCs w:val="18"/>
        </w:rPr>
        <w:t xml:space="preserve"> </w:t>
      </w:r>
    </w:p>
    <w:p w14:paraId="37A229F3" w14:textId="5D7DAC04" w:rsidR="00233697" w:rsidRDefault="00233697" w:rsidP="00233697">
      <w:pPr>
        <w:rPr>
          <w:rFonts w:cs="Arial"/>
          <w:b/>
          <w:sz w:val="16"/>
          <w:szCs w:val="16"/>
        </w:rPr>
      </w:pPr>
      <w:r>
        <w:rPr>
          <w:rFonts w:cs="Arial"/>
          <w:b/>
          <w:sz w:val="16"/>
          <w:szCs w:val="16"/>
        </w:rPr>
        <w:t>Table</w:t>
      </w:r>
      <w:r w:rsidRPr="002D20A5">
        <w:rPr>
          <w:rFonts w:cs="Arial"/>
          <w:b/>
          <w:sz w:val="16"/>
          <w:szCs w:val="16"/>
        </w:rPr>
        <w:t xml:space="preserve"> </w:t>
      </w:r>
      <w:r>
        <w:rPr>
          <w:rFonts w:cs="Arial"/>
          <w:b/>
          <w:sz w:val="16"/>
          <w:szCs w:val="16"/>
        </w:rPr>
        <w:t>1</w:t>
      </w:r>
      <w:r w:rsidRPr="002D20A5">
        <w:rPr>
          <w:rFonts w:cs="Arial"/>
          <w:b/>
          <w:sz w:val="16"/>
          <w:szCs w:val="16"/>
        </w:rPr>
        <w:t xml:space="preserve">. </w:t>
      </w:r>
      <w:r w:rsidR="00C85006">
        <w:rPr>
          <w:rFonts w:cs="Arial"/>
          <w:b/>
          <w:sz w:val="16"/>
          <w:szCs w:val="16"/>
        </w:rPr>
        <w:t>Mean r</w:t>
      </w:r>
      <w:r>
        <w:rPr>
          <w:rFonts w:cs="Arial"/>
          <w:b/>
          <w:sz w:val="16"/>
          <w:szCs w:val="16"/>
        </w:rPr>
        <w:t xml:space="preserve">heology properties of </w:t>
      </w:r>
      <w:r w:rsidRPr="00034D54">
        <w:rPr>
          <w:rFonts w:eastAsia="Arial Unicode MS" w:cs="Arial"/>
          <w:b/>
          <w:sz w:val="16"/>
          <w:szCs w:val="16"/>
        </w:rPr>
        <w:t>four batches of aqueous nasal suspension formulations</w:t>
      </w:r>
      <w:r>
        <w:rPr>
          <w:rFonts w:cs="Arial"/>
          <w:b/>
          <w:sz w:val="16"/>
          <w:szCs w:val="16"/>
        </w:rPr>
        <w:t xml:space="preserve"> with different amounts of </w:t>
      </w:r>
      <w:proofErr w:type="spellStart"/>
      <w:r>
        <w:rPr>
          <w:rFonts w:cs="Arial"/>
          <w:b/>
          <w:sz w:val="16"/>
          <w:szCs w:val="16"/>
        </w:rPr>
        <w:t>Avicel</w:t>
      </w:r>
      <w:proofErr w:type="spellEnd"/>
      <w:r>
        <w:rPr>
          <w:rFonts w:cs="Arial"/>
          <w:b/>
          <w:sz w:val="16"/>
          <w:szCs w:val="16"/>
        </w:rPr>
        <w:t xml:space="preserve"> 0.5-4</w:t>
      </w:r>
      <w:r w:rsidR="00C85006">
        <w:rPr>
          <w:rFonts w:cs="Arial"/>
          <w:b/>
          <w:sz w:val="16"/>
          <w:szCs w:val="16"/>
        </w:rPr>
        <w:t xml:space="preserve"> (n=3).</w:t>
      </w:r>
    </w:p>
    <w:tbl>
      <w:tblPr>
        <w:tblW w:w="8880" w:type="dxa"/>
        <w:jc w:val="center"/>
        <w:tblLook w:val="04A0" w:firstRow="1" w:lastRow="0" w:firstColumn="1" w:lastColumn="0" w:noHBand="0" w:noVBand="1"/>
      </w:tblPr>
      <w:tblGrid>
        <w:gridCol w:w="1720"/>
        <w:gridCol w:w="1720"/>
        <w:gridCol w:w="1720"/>
        <w:gridCol w:w="1720"/>
        <w:gridCol w:w="2000"/>
      </w:tblGrid>
      <w:tr w:rsidR="00891D40" w:rsidRPr="00891D40" w14:paraId="2A44341A" w14:textId="77777777" w:rsidTr="00891D40">
        <w:trPr>
          <w:trHeight w:val="539"/>
          <w:jc w:val="center"/>
        </w:trPr>
        <w:tc>
          <w:tcPr>
            <w:tcW w:w="1720" w:type="dxa"/>
            <w:tcBorders>
              <w:top w:val="single" w:sz="8" w:space="0" w:color="auto"/>
              <w:left w:val="single" w:sz="8" w:space="0" w:color="auto"/>
              <w:bottom w:val="single" w:sz="4" w:space="0" w:color="auto"/>
              <w:right w:val="single" w:sz="4" w:space="0" w:color="auto"/>
            </w:tcBorders>
            <w:shd w:val="clear" w:color="auto" w:fill="D0CECE" w:themeFill="background2" w:themeFillShade="E6"/>
            <w:vAlign w:val="center"/>
            <w:hideMark/>
          </w:tcPr>
          <w:p w14:paraId="1058C66B" w14:textId="77777777" w:rsidR="00891D40" w:rsidRPr="00891D40" w:rsidRDefault="00891D40" w:rsidP="00891D40">
            <w:pPr>
              <w:spacing w:after="0"/>
              <w:jc w:val="center"/>
              <w:rPr>
                <w:rFonts w:cs="Arial"/>
                <w:b/>
                <w:bCs/>
                <w:color w:val="000000"/>
                <w:sz w:val="16"/>
                <w:szCs w:val="16"/>
              </w:rPr>
            </w:pPr>
            <w:r w:rsidRPr="00891D40">
              <w:rPr>
                <w:rFonts w:cs="Arial"/>
                <w:b/>
                <w:bCs/>
                <w:color w:val="000000"/>
                <w:sz w:val="16"/>
                <w:szCs w:val="16"/>
              </w:rPr>
              <w:t>Formulation</w:t>
            </w:r>
          </w:p>
        </w:tc>
        <w:tc>
          <w:tcPr>
            <w:tcW w:w="1720" w:type="dxa"/>
            <w:tcBorders>
              <w:top w:val="single" w:sz="8" w:space="0" w:color="auto"/>
              <w:left w:val="nil"/>
              <w:bottom w:val="single" w:sz="4" w:space="0" w:color="auto"/>
              <w:right w:val="single" w:sz="4" w:space="0" w:color="auto"/>
            </w:tcBorders>
            <w:shd w:val="clear" w:color="auto" w:fill="D0CECE" w:themeFill="background2" w:themeFillShade="E6"/>
            <w:vAlign w:val="center"/>
            <w:hideMark/>
          </w:tcPr>
          <w:p w14:paraId="38C0A434" w14:textId="77777777" w:rsidR="00891D40" w:rsidRPr="00891D40" w:rsidRDefault="00891D40" w:rsidP="00891D40">
            <w:pPr>
              <w:spacing w:after="0"/>
              <w:jc w:val="center"/>
              <w:rPr>
                <w:rFonts w:cs="Arial"/>
                <w:b/>
                <w:bCs/>
                <w:color w:val="000000"/>
                <w:sz w:val="16"/>
                <w:szCs w:val="16"/>
              </w:rPr>
            </w:pPr>
            <w:r w:rsidRPr="00891D40">
              <w:rPr>
                <w:rFonts w:cs="Arial"/>
                <w:b/>
                <w:bCs/>
                <w:color w:val="000000"/>
                <w:sz w:val="16"/>
                <w:szCs w:val="16"/>
              </w:rPr>
              <w:t xml:space="preserve">Shear modulus (viscous </w:t>
            </w:r>
            <w:proofErr w:type="gramStart"/>
            <w:r w:rsidRPr="00891D40">
              <w:rPr>
                <w:rFonts w:cs="Arial"/>
                <w:b/>
                <w:bCs/>
                <w:color w:val="000000"/>
                <w:sz w:val="16"/>
                <w:szCs w:val="16"/>
              </w:rPr>
              <w:t>component)(</w:t>
            </w:r>
            <w:proofErr w:type="gramEnd"/>
            <w:r w:rsidRPr="00891D40">
              <w:rPr>
                <w:rFonts w:cs="Arial"/>
                <w:b/>
                <w:bCs/>
                <w:color w:val="000000"/>
                <w:sz w:val="16"/>
                <w:szCs w:val="16"/>
              </w:rPr>
              <w:t>Pa)</w:t>
            </w:r>
          </w:p>
        </w:tc>
        <w:tc>
          <w:tcPr>
            <w:tcW w:w="1720" w:type="dxa"/>
            <w:tcBorders>
              <w:top w:val="single" w:sz="8" w:space="0" w:color="auto"/>
              <w:left w:val="nil"/>
              <w:bottom w:val="single" w:sz="4" w:space="0" w:color="auto"/>
              <w:right w:val="single" w:sz="4" w:space="0" w:color="auto"/>
            </w:tcBorders>
            <w:shd w:val="clear" w:color="auto" w:fill="D0CECE" w:themeFill="background2" w:themeFillShade="E6"/>
            <w:vAlign w:val="center"/>
            <w:hideMark/>
          </w:tcPr>
          <w:p w14:paraId="5168349C" w14:textId="77777777" w:rsidR="00891D40" w:rsidRPr="00891D40" w:rsidRDefault="00891D40" w:rsidP="00891D40">
            <w:pPr>
              <w:spacing w:after="0"/>
              <w:jc w:val="center"/>
              <w:rPr>
                <w:rFonts w:cs="Arial"/>
                <w:b/>
                <w:bCs/>
                <w:color w:val="000000"/>
                <w:sz w:val="16"/>
                <w:szCs w:val="16"/>
              </w:rPr>
            </w:pPr>
            <w:r w:rsidRPr="00891D40">
              <w:rPr>
                <w:rFonts w:cs="Arial"/>
                <w:b/>
                <w:bCs/>
                <w:color w:val="000000"/>
                <w:sz w:val="16"/>
                <w:szCs w:val="16"/>
              </w:rPr>
              <w:t xml:space="preserve">Shear modulus (elastic </w:t>
            </w:r>
            <w:proofErr w:type="gramStart"/>
            <w:r w:rsidRPr="00891D40">
              <w:rPr>
                <w:rFonts w:cs="Arial"/>
                <w:b/>
                <w:bCs/>
                <w:color w:val="000000"/>
                <w:sz w:val="16"/>
                <w:szCs w:val="16"/>
              </w:rPr>
              <w:t>component)(</w:t>
            </w:r>
            <w:proofErr w:type="gramEnd"/>
            <w:r w:rsidRPr="00891D40">
              <w:rPr>
                <w:rFonts w:cs="Arial"/>
                <w:b/>
                <w:bCs/>
                <w:color w:val="000000"/>
                <w:sz w:val="16"/>
                <w:szCs w:val="16"/>
              </w:rPr>
              <w:t>Pa)</w:t>
            </w:r>
          </w:p>
        </w:tc>
        <w:tc>
          <w:tcPr>
            <w:tcW w:w="1720" w:type="dxa"/>
            <w:tcBorders>
              <w:top w:val="single" w:sz="8" w:space="0" w:color="auto"/>
              <w:left w:val="nil"/>
              <w:bottom w:val="single" w:sz="4" w:space="0" w:color="auto"/>
              <w:right w:val="single" w:sz="4" w:space="0" w:color="auto"/>
            </w:tcBorders>
            <w:shd w:val="clear" w:color="auto" w:fill="D0CECE" w:themeFill="background2" w:themeFillShade="E6"/>
            <w:vAlign w:val="center"/>
            <w:hideMark/>
          </w:tcPr>
          <w:p w14:paraId="25B716B8" w14:textId="77777777" w:rsidR="00891D40" w:rsidRPr="00891D40" w:rsidRDefault="00891D40" w:rsidP="00891D40">
            <w:pPr>
              <w:spacing w:after="0"/>
              <w:jc w:val="center"/>
              <w:rPr>
                <w:rFonts w:cs="Arial"/>
                <w:b/>
                <w:bCs/>
                <w:color w:val="000000"/>
                <w:sz w:val="16"/>
                <w:szCs w:val="16"/>
              </w:rPr>
            </w:pPr>
            <w:r w:rsidRPr="00891D40">
              <w:rPr>
                <w:rFonts w:cs="Arial"/>
                <w:b/>
                <w:bCs/>
                <w:color w:val="000000"/>
                <w:sz w:val="16"/>
                <w:szCs w:val="16"/>
              </w:rPr>
              <w:t xml:space="preserve">Phase </w:t>
            </w:r>
            <w:proofErr w:type="gramStart"/>
            <w:r w:rsidRPr="00891D40">
              <w:rPr>
                <w:rFonts w:cs="Arial"/>
                <w:b/>
                <w:bCs/>
                <w:color w:val="000000"/>
                <w:sz w:val="16"/>
                <w:szCs w:val="16"/>
              </w:rPr>
              <w:t>angle(</w:t>
            </w:r>
            <w:proofErr w:type="gramEnd"/>
            <w:r w:rsidRPr="00891D40">
              <w:rPr>
                <w:rFonts w:cs="Arial"/>
                <w:b/>
                <w:bCs/>
                <w:color w:val="000000"/>
                <w:sz w:val="16"/>
                <w:szCs w:val="16"/>
              </w:rPr>
              <w:t>°)</w:t>
            </w:r>
          </w:p>
        </w:tc>
        <w:tc>
          <w:tcPr>
            <w:tcW w:w="2000" w:type="dxa"/>
            <w:tcBorders>
              <w:top w:val="single" w:sz="8" w:space="0" w:color="auto"/>
              <w:left w:val="nil"/>
              <w:bottom w:val="single" w:sz="4" w:space="0" w:color="auto"/>
              <w:right w:val="single" w:sz="8" w:space="0" w:color="auto"/>
            </w:tcBorders>
            <w:shd w:val="clear" w:color="auto" w:fill="D0CECE" w:themeFill="background2" w:themeFillShade="E6"/>
            <w:vAlign w:val="center"/>
            <w:hideMark/>
          </w:tcPr>
          <w:p w14:paraId="7BEF66B5" w14:textId="77777777" w:rsidR="00891D40" w:rsidRPr="00891D40" w:rsidRDefault="00891D40" w:rsidP="00891D40">
            <w:pPr>
              <w:spacing w:after="0"/>
              <w:jc w:val="center"/>
              <w:rPr>
                <w:rFonts w:cs="Arial"/>
                <w:b/>
                <w:bCs/>
                <w:color w:val="000000"/>
                <w:sz w:val="16"/>
                <w:szCs w:val="16"/>
              </w:rPr>
            </w:pPr>
            <w:r w:rsidRPr="00891D40">
              <w:rPr>
                <w:rFonts w:cs="Arial"/>
                <w:b/>
                <w:bCs/>
                <w:color w:val="000000"/>
                <w:sz w:val="16"/>
                <w:szCs w:val="16"/>
              </w:rPr>
              <w:t xml:space="preserve">Shear </w:t>
            </w:r>
            <w:proofErr w:type="gramStart"/>
            <w:r w:rsidRPr="00891D40">
              <w:rPr>
                <w:rFonts w:cs="Arial"/>
                <w:b/>
                <w:bCs/>
                <w:color w:val="000000"/>
                <w:sz w:val="16"/>
                <w:szCs w:val="16"/>
              </w:rPr>
              <w:t>viscosity(</w:t>
            </w:r>
            <w:proofErr w:type="gramEnd"/>
            <w:r w:rsidRPr="00891D40">
              <w:rPr>
                <w:rFonts w:cs="Arial"/>
                <w:b/>
                <w:bCs/>
                <w:color w:val="000000"/>
                <w:sz w:val="16"/>
                <w:szCs w:val="16"/>
              </w:rPr>
              <w:t>Pa s)</w:t>
            </w:r>
          </w:p>
        </w:tc>
      </w:tr>
      <w:tr w:rsidR="00891D40" w:rsidRPr="00891D40" w14:paraId="032764BF" w14:textId="77777777" w:rsidTr="00891D40">
        <w:trPr>
          <w:trHeight w:val="179"/>
          <w:jc w:val="center"/>
        </w:trPr>
        <w:tc>
          <w:tcPr>
            <w:tcW w:w="1720"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158F9726"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0.50%</w:t>
            </w:r>
          </w:p>
        </w:tc>
        <w:tc>
          <w:tcPr>
            <w:tcW w:w="1720" w:type="dxa"/>
            <w:tcBorders>
              <w:top w:val="nil"/>
              <w:left w:val="nil"/>
              <w:bottom w:val="single" w:sz="4" w:space="0" w:color="auto"/>
              <w:right w:val="single" w:sz="4" w:space="0" w:color="auto"/>
            </w:tcBorders>
            <w:shd w:val="clear" w:color="auto" w:fill="auto"/>
            <w:noWrap/>
            <w:vAlign w:val="center"/>
            <w:hideMark/>
          </w:tcPr>
          <w:p w14:paraId="40A64E24"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0.09</w:t>
            </w:r>
          </w:p>
        </w:tc>
        <w:tc>
          <w:tcPr>
            <w:tcW w:w="1720" w:type="dxa"/>
            <w:tcBorders>
              <w:top w:val="nil"/>
              <w:left w:val="nil"/>
              <w:bottom w:val="single" w:sz="4" w:space="0" w:color="auto"/>
              <w:right w:val="single" w:sz="4" w:space="0" w:color="auto"/>
            </w:tcBorders>
            <w:shd w:val="clear" w:color="auto" w:fill="auto"/>
            <w:noWrap/>
            <w:vAlign w:val="center"/>
            <w:hideMark/>
          </w:tcPr>
          <w:p w14:paraId="4710A3E7"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0.14</w:t>
            </w:r>
          </w:p>
        </w:tc>
        <w:tc>
          <w:tcPr>
            <w:tcW w:w="1720" w:type="dxa"/>
            <w:tcBorders>
              <w:top w:val="nil"/>
              <w:left w:val="nil"/>
              <w:bottom w:val="single" w:sz="4" w:space="0" w:color="auto"/>
              <w:right w:val="single" w:sz="4" w:space="0" w:color="auto"/>
            </w:tcBorders>
            <w:shd w:val="clear" w:color="auto" w:fill="auto"/>
            <w:noWrap/>
            <w:vAlign w:val="center"/>
            <w:hideMark/>
          </w:tcPr>
          <w:p w14:paraId="646CB32D"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33.41</w:t>
            </w:r>
          </w:p>
        </w:tc>
        <w:tc>
          <w:tcPr>
            <w:tcW w:w="2000" w:type="dxa"/>
            <w:tcBorders>
              <w:top w:val="nil"/>
              <w:left w:val="nil"/>
              <w:bottom w:val="single" w:sz="4" w:space="0" w:color="auto"/>
              <w:right w:val="single" w:sz="8" w:space="0" w:color="auto"/>
            </w:tcBorders>
            <w:shd w:val="clear" w:color="auto" w:fill="auto"/>
            <w:noWrap/>
            <w:vAlign w:val="center"/>
            <w:hideMark/>
          </w:tcPr>
          <w:p w14:paraId="3922B285"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0.09</w:t>
            </w:r>
          </w:p>
        </w:tc>
      </w:tr>
      <w:tr w:rsidR="00891D40" w:rsidRPr="00891D40" w14:paraId="1B3780C1" w14:textId="77777777" w:rsidTr="00891D40">
        <w:trPr>
          <w:trHeight w:val="179"/>
          <w:jc w:val="center"/>
        </w:trPr>
        <w:tc>
          <w:tcPr>
            <w:tcW w:w="1720"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1950B15B"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1.00%</w:t>
            </w:r>
          </w:p>
        </w:tc>
        <w:tc>
          <w:tcPr>
            <w:tcW w:w="1720" w:type="dxa"/>
            <w:tcBorders>
              <w:top w:val="nil"/>
              <w:left w:val="nil"/>
              <w:bottom w:val="single" w:sz="4" w:space="0" w:color="auto"/>
              <w:right w:val="single" w:sz="4" w:space="0" w:color="auto"/>
            </w:tcBorders>
            <w:shd w:val="clear" w:color="auto" w:fill="auto"/>
            <w:noWrap/>
            <w:vAlign w:val="center"/>
            <w:hideMark/>
          </w:tcPr>
          <w:p w14:paraId="47B0ABDB"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0.28</w:t>
            </w:r>
          </w:p>
        </w:tc>
        <w:tc>
          <w:tcPr>
            <w:tcW w:w="1720" w:type="dxa"/>
            <w:tcBorders>
              <w:top w:val="nil"/>
              <w:left w:val="nil"/>
              <w:bottom w:val="single" w:sz="4" w:space="0" w:color="auto"/>
              <w:right w:val="single" w:sz="4" w:space="0" w:color="auto"/>
            </w:tcBorders>
            <w:shd w:val="clear" w:color="auto" w:fill="auto"/>
            <w:noWrap/>
            <w:vAlign w:val="center"/>
            <w:hideMark/>
          </w:tcPr>
          <w:p w14:paraId="5FBDB916"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1.04</w:t>
            </w:r>
          </w:p>
        </w:tc>
        <w:tc>
          <w:tcPr>
            <w:tcW w:w="1720" w:type="dxa"/>
            <w:tcBorders>
              <w:top w:val="nil"/>
              <w:left w:val="nil"/>
              <w:bottom w:val="single" w:sz="4" w:space="0" w:color="auto"/>
              <w:right w:val="single" w:sz="4" w:space="0" w:color="auto"/>
            </w:tcBorders>
            <w:shd w:val="clear" w:color="auto" w:fill="auto"/>
            <w:noWrap/>
            <w:vAlign w:val="center"/>
            <w:hideMark/>
          </w:tcPr>
          <w:p w14:paraId="0C727A9B"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14.83</w:t>
            </w:r>
          </w:p>
        </w:tc>
        <w:tc>
          <w:tcPr>
            <w:tcW w:w="2000" w:type="dxa"/>
            <w:tcBorders>
              <w:top w:val="nil"/>
              <w:left w:val="nil"/>
              <w:bottom w:val="single" w:sz="4" w:space="0" w:color="auto"/>
              <w:right w:val="single" w:sz="8" w:space="0" w:color="auto"/>
            </w:tcBorders>
            <w:shd w:val="clear" w:color="auto" w:fill="auto"/>
            <w:noWrap/>
            <w:vAlign w:val="center"/>
            <w:hideMark/>
          </w:tcPr>
          <w:p w14:paraId="1ED63838"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2.64</w:t>
            </w:r>
          </w:p>
        </w:tc>
      </w:tr>
      <w:tr w:rsidR="00891D40" w:rsidRPr="00891D40" w14:paraId="778336A8" w14:textId="77777777" w:rsidTr="00891D40">
        <w:trPr>
          <w:trHeight w:val="179"/>
          <w:jc w:val="center"/>
        </w:trPr>
        <w:tc>
          <w:tcPr>
            <w:tcW w:w="1720"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3B533FBC"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2.00%</w:t>
            </w:r>
          </w:p>
        </w:tc>
        <w:tc>
          <w:tcPr>
            <w:tcW w:w="1720" w:type="dxa"/>
            <w:tcBorders>
              <w:top w:val="nil"/>
              <w:left w:val="nil"/>
              <w:bottom w:val="single" w:sz="4" w:space="0" w:color="auto"/>
              <w:right w:val="single" w:sz="4" w:space="0" w:color="auto"/>
            </w:tcBorders>
            <w:shd w:val="clear" w:color="auto" w:fill="auto"/>
            <w:noWrap/>
            <w:vAlign w:val="center"/>
            <w:hideMark/>
          </w:tcPr>
          <w:p w14:paraId="03C0DE0D"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0.74</w:t>
            </w:r>
          </w:p>
        </w:tc>
        <w:tc>
          <w:tcPr>
            <w:tcW w:w="1720" w:type="dxa"/>
            <w:tcBorders>
              <w:top w:val="nil"/>
              <w:left w:val="nil"/>
              <w:bottom w:val="single" w:sz="4" w:space="0" w:color="auto"/>
              <w:right w:val="single" w:sz="4" w:space="0" w:color="auto"/>
            </w:tcBorders>
            <w:shd w:val="clear" w:color="auto" w:fill="auto"/>
            <w:noWrap/>
            <w:vAlign w:val="center"/>
            <w:hideMark/>
          </w:tcPr>
          <w:p w14:paraId="19134888"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3.84</w:t>
            </w:r>
          </w:p>
        </w:tc>
        <w:tc>
          <w:tcPr>
            <w:tcW w:w="1720" w:type="dxa"/>
            <w:tcBorders>
              <w:top w:val="nil"/>
              <w:left w:val="nil"/>
              <w:bottom w:val="single" w:sz="4" w:space="0" w:color="auto"/>
              <w:right w:val="single" w:sz="4" w:space="0" w:color="auto"/>
            </w:tcBorders>
            <w:shd w:val="clear" w:color="auto" w:fill="auto"/>
            <w:noWrap/>
            <w:vAlign w:val="center"/>
            <w:hideMark/>
          </w:tcPr>
          <w:p w14:paraId="13D2388A"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10.96</w:t>
            </w:r>
          </w:p>
        </w:tc>
        <w:tc>
          <w:tcPr>
            <w:tcW w:w="2000" w:type="dxa"/>
            <w:tcBorders>
              <w:top w:val="nil"/>
              <w:left w:val="nil"/>
              <w:bottom w:val="single" w:sz="4" w:space="0" w:color="auto"/>
              <w:right w:val="single" w:sz="8" w:space="0" w:color="auto"/>
            </w:tcBorders>
            <w:shd w:val="clear" w:color="auto" w:fill="auto"/>
            <w:noWrap/>
            <w:vAlign w:val="center"/>
            <w:hideMark/>
          </w:tcPr>
          <w:p w14:paraId="02CFC347"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12.97</w:t>
            </w:r>
          </w:p>
        </w:tc>
      </w:tr>
      <w:tr w:rsidR="00891D40" w:rsidRPr="00891D40" w14:paraId="48F71C36" w14:textId="77777777" w:rsidTr="00891D40">
        <w:trPr>
          <w:trHeight w:val="179"/>
          <w:jc w:val="center"/>
        </w:trPr>
        <w:tc>
          <w:tcPr>
            <w:tcW w:w="1720" w:type="dxa"/>
            <w:tcBorders>
              <w:top w:val="nil"/>
              <w:left w:val="single" w:sz="8" w:space="0" w:color="auto"/>
              <w:bottom w:val="single" w:sz="4" w:space="0" w:color="auto"/>
              <w:right w:val="single" w:sz="4" w:space="0" w:color="auto"/>
            </w:tcBorders>
            <w:shd w:val="clear" w:color="auto" w:fill="E7E6E6" w:themeFill="background2"/>
            <w:noWrap/>
            <w:vAlign w:val="center"/>
            <w:hideMark/>
          </w:tcPr>
          <w:p w14:paraId="7FD4D041"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3.00%</w:t>
            </w:r>
          </w:p>
        </w:tc>
        <w:tc>
          <w:tcPr>
            <w:tcW w:w="1720" w:type="dxa"/>
            <w:tcBorders>
              <w:top w:val="nil"/>
              <w:left w:val="nil"/>
              <w:bottom w:val="single" w:sz="4" w:space="0" w:color="auto"/>
              <w:right w:val="single" w:sz="4" w:space="0" w:color="auto"/>
            </w:tcBorders>
            <w:shd w:val="clear" w:color="auto" w:fill="auto"/>
            <w:noWrap/>
            <w:vAlign w:val="center"/>
            <w:hideMark/>
          </w:tcPr>
          <w:p w14:paraId="22463CE2"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2.16</w:t>
            </w:r>
          </w:p>
        </w:tc>
        <w:tc>
          <w:tcPr>
            <w:tcW w:w="1720" w:type="dxa"/>
            <w:tcBorders>
              <w:top w:val="nil"/>
              <w:left w:val="nil"/>
              <w:bottom w:val="single" w:sz="4" w:space="0" w:color="auto"/>
              <w:right w:val="single" w:sz="4" w:space="0" w:color="auto"/>
            </w:tcBorders>
            <w:shd w:val="clear" w:color="auto" w:fill="auto"/>
            <w:noWrap/>
            <w:vAlign w:val="center"/>
            <w:hideMark/>
          </w:tcPr>
          <w:p w14:paraId="7B9A79E6"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15.47</w:t>
            </w:r>
          </w:p>
        </w:tc>
        <w:tc>
          <w:tcPr>
            <w:tcW w:w="1720" w:type="dxa"/>
            <w:tcBorders>
              <w:top w:val="nil"/>
              <w:left w:val="nil"/>
              <w:bottom w:val="single" w:sz="4" w:space="0" w:color="auto"/>
              <w:right w:val="single" w:sz="4" w:space="0" w:color="auto"/>
            </w:tcBorders>
            <w:shd w:val="clear" w:color="auto" w:fill="auto"/>
            <w:noWrap/>
            <w:vAlign w:val="center"/>
            <w:hideMark/>
          </w:tcPr>
          <w:p w14:paraId="7043578D"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7.94</w:t>
            </w:r>
          </w:p>
        </w:tc>
        <w:tc>
          <w:tcPr>
            <w:tcW w:w="2000" w:type="dxa"/>
            <w:tcBorders>
              <w:top w:val="nil"/>
              <w:left w:val="nil"/>
              <w:bottom w:val="single" w:sz="4" w:space="0" w:color="auto"/>
              <w:right w:val="single" w:sz="8" w:space="0" w:color="auto"/>
            </w:tcBorders>
            <w:shd w:val="clear" w:color="auto" w:fill="auto"/>
            <w:noWrap/>
            <w:vAlign w:val="center"/>
            <w:hideMark/>
          </w:tcPr>
          <w:p w14:paraId="6282A4BF"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85.94</w:t>
            </w:r>
          </w:p>
        </w:tc>
      </w:tr>
      <w:tr w:rsidR="00891D40" w:rsidRPr="00891D40" w14:paraId="460D71BF" w14:textId="77777777" w:rsidTr="00891D40">
        <w:trPr>
          <w:trHeight w:val="188"/>
          <w:jc w:val="center"/>
        </w:trPr>
        <w:tc>
          <w:tcPr>
            <w:tcW w:w="1720" w:type="dxa"/>
            <w:tcBorders>
              <w:top w:val="nil"/>
              <w:left w:val="single" w:sz="8" w:space="0" w:color="auto"/>
              <w:bottom w:val="single" w:sz="8" w:space="0" w:color="auto"/>
              <w:right w:val="single" w:sz="4" w:space="0" w:color="auto"/>
            </w:tcBorders>
            <w:shd w:val="clear" w:color="auto" w:fill="E7E6E6" w:themeFill="background2"/>
            <w:noWrap/>
            <w:vAlign w:val="center"/>
            <w:hideMark/>
          </w:tcPr>
          <w:p w14:paraId="4B0221E0"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4.00%</w:t>
            </w:r>
          </w:p>
        </w:tc>
        <w:tc>
          <w:tcPr>
            <w:tcW w:w="1720" w:type="dxa"/>
            <w:tcBorders>
              <w:top w:val="nil"/>
              <w:left w:val="nil"/>
              <w:bottom w:val="single" w:sz="8" w:space="0" w:color="auto"/>
              <w:right w:val="single" w:sz="4" w:space="0" w:color="auto"/>
            </w:tcBorders>
            <w:shd w:val="clear" w:color="auto" w:fill="auto"/>
            <w:noWrap/>
            <w:vAlign w:val="center"/>
            <w:hideMark/>
          </w:tcPr>
          <w:p w14:paraId="2BDA7B8C"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4.37</w:t>
            </w:r>
          </w:p>
        </w:tc>
        <w:tc>
          <w:tcPr>
            <w:tcW w:w="1720" w:type="dxa"/>
            <w:tcBorders>
              <w:top w:val="nil"/>
              <w:left w:val="nil"/>
              <w:bottom w:val="single" w:sz="8" w:space="0" w:color="auto"/>
              <w:right w:val="single" w:sz="4" w:space="0" w:color="auto"/>
            </w:tcBorders>
            <w:shd w:val="clear" w:color="auto" w:fill="auto"/>
            <w:noWrap/>
            <w:vAlign w:val="center"/>
            <w:hideMark/>
          </w:tcPr>
          <w:p w14:paraId="77C27648"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31.42</w:t>
            </w:r>
          </w:p>
        </w:tc>
        <w:tc>
          <w:tcPr>
            <w:tcW w:w="1720" w:type="dxa"/>
            <w:tcBorders>
              <w:top w:val="nil"/>
              <w:left w:val="nil"/>
              <w:bottom w:val="single" w:sz="8" w:space="0" w:color="auto"/>
              <w:right w:val="single" w:sz="4" w:space="0" w:color="auto"/>
            </w:tcBorders>
            <w:shd w:val="clear" w:color="auto" w:fill="auto"/>
            <w:noWrap/>
            <w:vAlign w:val="center"/>
            <w:hideMark/>
          </w:tcPr>
          <w:p w14:paraId="7A40B2D8"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7.92</w:t>
            </w:r>
          </w:p>
        </w:tc>
        <w:tc>
          <w:tcPr>
            <w:tcW w:w="2000" w:type="dxa"/>
            <w:tcBorders>
              <w:top w:val="nil"/>
              <w:left w:val="nil"/>
              <w:bottom w:val="single" w:sz="8" w:space="0" w:color="auto"/>
              <w:right w:val="single" w:sz="8" w:space="0" w:color="auto"/>
            </w:tcBorders>
            <w:shd w:val="clear" w:color="auto" w:fill="auto"/>
            <w:noWrap/>
            <w:vAlign w:val="center"/>
            <w:hideMark/>
          </w:tcPr>
          <w:p w14:paraId="1F1A1111" w14:textId="77777777" w:rsidR="00891D40" w:rsidRPr="00891D40" w:rsidRDefault="00891D40" w:rsidP="00891D40">
            <w:pPr>
              <w:spacing w:after="0"/>
              <w:jc w:val="center"/>
              <w:rPr>
                <w:rFonts w:cs="Arial"/>
                <w:color w:val="000000"/>
                <w:sz w:val="16"/>
                <w:szCs w:val="16"/>
              </w:rPr>
            </w:pPr>
            <w:r w:rsidRPr="00891D40">
              <w:rPr>
                <w:rFonts w:cs="Arial"/>
                <w:color w:val="000000"/>
                <w:sz w:val="16"/>
                <w:szCs w:val="16"/>
              </w:rPr>
              <w:t>128.70</w:t>
            </w:r>
          </w:p>
        </w:tc>
      </w:tr>
    </w:tbl>
    <w:p w14:paraId="7848780F" w14:textId="77777777" w:rsidR="00891D40" w:rsidRPr="00233697" w:rsidRDefault="00891D40" w:rsidP="00DE1286">
      <w:pPr>
        <w:jc w:val="center"/>
        <w:rPr>
          <w:rFonts w:cs="Arial"/>
          <w:b/>
          <w:sz w:val="16"/>
          <w:szCs w:val="16"/>
        </w:rPr>
      </w:pPr>
    </w:p>
    <w:p w14:paraId="28D92374" w14:textId="77777777" w:rsidR="00233697" w:rsidRDefault="00233697" w:rsidP="00233697">
      <w:pPr>
        <w:jc w:val="center"/>
        <w:rPr>
          <w:rFonts w:cs="Arial"/>
          <w:b/>
          <w:sz w:val="16"/>
          <w:szCs w:val="16"/>
        </w:rPr>
      </w:pPr>
      <w:r>
        <w:rPr>
          <w:rFonts w:cs="Arial"/>
          <w:b/>
          <w:noProof/>
          <w:sz w:val="16"/>
          <w:szCs w:val="16"/>
          <w:lang w:val="de-DE" w:eastAsia="de-DE"/>
        </w:rPr>
        <w:drawing>
          <wp:inline distT="0" distB="0" distL="0" distR="0" wp14:anchorId="189C13EC" wp14:editId="11DDB664">
            <wp:extent cx="3660994" cy="2196291"/>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07370" cy="2224113"/>
                    </a:xfrm>
                    <a:prstGeom prst="rect">
                      <a:avLst/>
                    </a:prstGeom>
                    <a:noFill/>
                  </pic:spPr>
                </pic:pic>
              </a:graphicData>
            </a:graphic>
          </wp:inline>
        </w:drawing>
      </w:r>
    </w:p>
    <w:tbl>
      <w:tblPr>
        <w:tblW w:w="4990" w:type="dxa"/>
        <w:jc w:val="center"/>
        <w:tblLook w:val="04A0" w:firstRow="1" w:lastRow="0" w:firstColumn="1" w:lastColumn="0" w:noHBand="0" w:noVBand="1"/>
      </w:tblPr>
      <w:tblGrid>
        <w:gridCol w:w="1158"/>
        <w:gridCol w:w="958"/>
        <w:gridCol w:w="958"/>
        <w:gridCol w:w="958"/>
        <w:gridCol w:w="958"/>
      </w:tblGrid>
      <w:tr w:rsidR="00172952" w:rsidRPr="00172952" w14:paraId="75A07A2E" w14:textId="77777777" w:rsidTr="0072218B">
        <w:trPr>
          <w:trHeight w:val="239"/>
          <w:jc w:val="center"/>
        </w:trPr>
        <w:tc>
          <w:tcPr>
            <w:tcW w:w="1158"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3F1AA68C" w14:textId="77777777" w:rsidR="00172952" w:rsidRPr="00172952" w:rsidRDefault="00172952" w:rsidP="00172952">
            <w:pPr>
              <w:spacing w:after="0"/>
              <w:jc w:val="center"/>
              <w:rPr>
                <w:rFonts w:cs="Arial"/>
                <w:b/>
                <w:bCs/>
                <w:color w:val="000000"/>
                <w:sz w:val="16"/>
                <w:szCs w:val="16"/>
              </w:rPr>
            </w:pPr>
            <w:r w:rsidRPr="00172952">
              <w:rPr>
                <w:rFonts w:cs="Arial"/>
                <w:b/>
                <w:bCs/>
                <w:color w:val="000000"/>
                <w:sz w:val="16"/>
                <w:szCs w:val="16"/>
              </w:rPr>
              <w:t>Formulation</w:t>
            </w:r>
          </w:p>
        </w:tc>
        <w:tc>
          <w:tcPr>
            <w:tcW w:w="958"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7C740BD8" w14:textId="77777777" w:rsidR="00172952" w:rsidRPr="00172952" w:rsidRDefault="00172952" w:rsidP="00172952">
            <w:pPr>
              <w:spacing w:after="0"/>
              <w:jc w:val="center"/>
              <w:rPr>
                <w:rFonts w:cs="Arial"/>
                <w:b/>
                <w:bCs/>
                <w:color w:val="000000"/>
                <w:sz w:val="16"/>
                <w:szCs w:val="16"/>
              </w:rPr>
            </w:pPr>
            <w:proofErr w:type="spellStart"/>
            <w:proofErr w:type="gramStart"/>
            <w:r w:rsidRPr="00172952">
              <w:rPr>
                <w:rFonts w:cs="Arial"/>
                <w:b/>
                <w:bCs/>
                <w:color w:val="000000"/>
                <w:sz w:val="16"/>
                <w:szCs w:val="16"/>
              </w:rPr>
              <w:t>Dv</w:t>
            </w:r>
            <w:proofErr w:type="spellEnd"/>
            <w:r w:rsidRPr="00172952">
              <w:rPr>
                <w:rFonts w:cs="Arial"/>
                <w:b/>
                <w:bCs/>
                <w:color w:val="000000"/>
                <w:sz w:val="16"/>
                <w:szCs w:val="16"/>
              </w:rPr>
              <w:t>(</w:t>
            </w:r>
            <w:proofErr w:type="gramEnd"/>
            <w:r w:rsidRPr="00172952">
              <w:rPr>
                <w:rFonts w:cs="Arial"/>
                <w:b/>
                <w:bCs/>
                <w:color w:val="000000"/>
                <w:sz w:val="16"/>
                <w:szCs w:val="16"/>
              </w:rPr>
              <w:t>10)</w:t>
            </w:r>
          </w:p>
        </w:tc>
        <w:tc>
          <w:tcPr>
            <w:tcW w:w="958"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AF74626" w14:textId="77777777" w:rsidR="00172952" w:rsidRPr="00172952" w:rsidRDefault="00172952" w:rsidP="00172952">
            <w:pPr>
              <w:spacing w:after="0"/>
              <w:jc w:val="center"/>
              <w:rPr>
                <w:rFonts w:cs="Arial"/>
                <w:b/>
                <w:bCs/>
                <w:color w:val="000000"/>
                <w:sz w:val="16"/>
                <w:szCs w:val="16"/>
              </w:rPr>
            </w:pPr>
            <w:proofErr w:type="spellStart"/>
            <w:proofErr w:type="gramStart"/>
            <w:r w:rsidRPr="00172952">
              <w:rPr>
                <w:rFonts w:cs="Arial"/>
                <w:b/>
                <w:bCs/>
                <w:color w:val="000000"/>
                <w:sz w:val="16"/>
                <w:szCs w:val="16"/>
              </w:rPr>
              <w:t>Dv</w:t>
            </w:r>
            <w:proofErr w:type="spellEnd"/>
            <w:r w:rsidRPr="00172952">
              <w:rPr>
                <w:rFonts w:cs="Arial"/>
                <w:b/>
                <w:bCs/>
                <w:color w:val="000000"/>
                <w:sz w:val="16"/>
                <w:szCs w:val="16"/>
              </w:rPr>
              <w:t>(</w:t>
            </w:r>
            <w:proofErr w:type="gramEnd"/>
            <w:r w:rsidRPr="00172952">
              <w:rPr>
                <w:rFonts w:cs="Arial"/>
                <w:b/>
                <w:bCs/>
                <w:color w:val="000000"/>
                <w:sz w:val="16"/>
                <w:szCs w:val="16"/>
              </w:rPr>
              <w:t>50)</w:t>
            </w:r>
          </w:p>
        </w:tc>
        <w:tc>
          <w:tcPr>
            <w:tcW w:w="958"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4B4AC9D7" w14:textId="77777777" w:rsidR="00172952" w:rsidRPr="00172952" w:rsidRDefault="00172952" w:rsidP="00172952">
            <w:pPr>
              <w:spacing w:after="0"/>
              <w:jc w:val="center"/>
              <w:rPr>
                <w:rFonts w:cs="Arial"/>
                <w:b/>
                <w:bCs/>
                <w:color w:val="000000"/>
                <w:sz w:val="16"/>
                <w:szCs w:val="16"/>
              </w:rPr>
            </w:pPr>
            <w:proofErr w:type="spellStart"/>
            <w:proofErr w:type="gramStart"/>
            <w:r w:rsidRPr="00172952">
              <w:rPr>
                <w:rFonts w:cs="Arial"/>
                <w:b/>
                <w:bCs/>
                <w:color w:val="000000"/>
                <w:sz w:val="16"/>
                <w:szCs w:val="16"/>
              </w:rPr>
              <w:t>Dv</w:t>
            </w:r>
            <w:proofErr w:type="spellEnd"/>
            <w:r w:rsidRPr="00172952">
              <w:rPr>
                <w:rFonts w:cs="Arial"/>
                <w:b/>
                <w:bCs/>
                <w:color w:val="000000"/>
                <w:sz w:val="16"/>
                <w:szCs w:val="16"/>
              </w:rPr>
              <w:t>(</w:t>
            </w:r>
            <w:proofErr w:type="gramEnd"/>
            <w:r w:rsidRPr="00172952">
              <w:rPr>
                <w:rFonts w:cs="Arial"/>
                <w:b/>
                <w:bCs/>
                <w:color w:val="000000"/>
                <w:sz w:val="16"/>
                <w:szCs w:val="16"/>
              </w:rPr>
              <w:t>90)</w:t>
            </w:r>
          </w:p>
        </w:tc>
        <w:tc>
          <w:tcPr>
            <w:tcW w:w="958" w:type="dxa"/>
            <w:tcBorders>
              <w:top w:val="single" w:sz="4" w:space="0" w:color="auto"/>
              <w:left w:val="nil"/>
              <w:bottom w:val="single" w:sz="4" w:space="0" w:color="auto"/>
              <w:right w:val="single" w:sz="4" w:space="0" w:color="auto"/>
            </w:tcBorders>
            <w:shd w:val="clear" w:color="auto" w:fill="D0CECE" w:themeFill="background2" w:themeFillShade="E6"/>
            <w:noWrap/>
            <w:vAlign w:val="center"/>
            <w:hideMark/>
          </w:tcPr>
          <w:p w14:paraId="0F2E1320" w14:textId="77777777" w:rsidR="00172952" w:rsidRPr="00172952" w:rsidRDefault="00172952" w:rsidP="00172952">
            <w:pPr>
              <w:spacing w:after="0"/>
              <w:jc w:val="center"/>
              <w:rPr>
                <w:rFonts w:cs="Arial"/>
                <w:b/>
                <w:bCs/>
                <w:color w:val="000000"/>
                <w:sz w:val="16"/>
                <w:szCs w:val="16"/>
              </w:rPr>
            </w:pPr>
            <w:r w:rsidRPr="00172952">
              <w:rPr>
                <w:rFonts w:cs="Arial"/>
                <w:b/>
                <w:bCs/>
                <w:color w:val="000000"/>
                <w:sz w:val="16"/>
                <w:szCs w:val="16"/>
              </w:rPr>
              <w:t>%V &lt; 10µ</w:t>
            </w:r>
          </w:p>
        </w:tc>
      </w:tr>
      <w:tr w:rsidR="0072218B" w:rsidRPr="00172952" w14:paraId="25EEF8EB" w14:textId="77777777" w:rsidTr="0072218B">
        <w:trPr>
          <w:trHeight w:val="239"/>
          <w:jc w:val="center"/>
        </w:trPr>
        <w:tc>
          <w:tcPr>
            <w:tcW w:w="1158"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287C2276"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0.50%</w:t>
            </w:r>
          </w:p>
        </w:tc>
        <w:tc>
          <w:tcPr>
            <w:tcW w:w="958" w:type="dxa"/>
            <w:tcBorders>
              <w:top w:val="nil"/>
              <w:left w:val="nil"/>
              <w:bottom w:val="single" w:sz="4" w:space="0" w:color="auto"/>
              <w:right w:val="single" w:sz="4" w:space="0" w:color="auto"/>
            </w:tcBorders>
            <w:shd w:val="clear" w:color="auto" w:fill="auto"/>
            <w:noWrap/>
            <w:vAlign w:val="center"/>
            <w:hideMark/>
          </w:tcPr>
          <w:p w14:paraId="3D42C423"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15.11</w:t>
            </w:r>
          </w:p>
        </w:tc>
        <w:tc>
          <w:tcPr>
            <w:tcW w:w="958" w:type="dxa"/>
            <w:tcBorders>
              <w:top w:val="nil"/>
              <w:left w:val="nil"/>
              <w:bottom w:val="single" w:sz="4" w:space="0" w:color="auto"/>
              <w:right w:val="single" w:sz="4" w:space="0" w:color="auto"/>
            </w:tcBorders>
            <w:shd w:val="clear" w:color="auto" w:fill="auto"/>
            <w:noWrap/>
            <w:vAlign w:val="center"/>
            <w:hideMark/>
          </w:tcPr>
          <w:p w14:paraId="456B4031"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34.67</w:t>
            </w:r>
          </w:p>
        </w:tc>
        <w:tc>
          <w:tcPr>
            <w:tcW w:w="958" w:type="dxa"/>
            <w:tcBorders>
              <w:top w:val="nil"/>
              <w:left w:val="nil"/>
              <w:bottom w:val="single" w:sz="4" w:space="0" w:color="auto"/>
              <w:right w:val="single" w:sz="4" w:space="0" w:color="auto"/>
            </w:tcBorders>
            <w:shd w:val="clear" w:color="auto" w:fill="auto"/>
            <w:noWrap/>
            <w:vAlign w:val="center"/>
            <w:hideMark/>
          </w:tcPr>
          <w:p w14:paraId="3E8A6A99"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74.32</w:t>
            </w:r>
          </w:p>
        </w:tc>
        <w:tc>
          <w:tcPr>
            <w:tcW w:w="958" w:type="dxa"/>
            <w:tcBorders>
              <w:top w:val="nil"/>
              <w:left w:val="nil"/>
              <w:bottom w:val="single" w:sz="4" w:space="0" w:color="auto"/>
              <w:right w:val="single" w:sz="4" w:space="0" w:color="auto"/>
            </w:tcBorders>
            <w:shd w:val="clear" w:color="auto" w:fill="auto"/>
            <w:noWrap/>
            <w:vAlign w:val="center"/>
            <w:hideMark/>
          </w:tcPr>
          <w:p w14:paraId="5F283E68"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4.53</w:t>
            </w:r>
          </w:p>
        </w:tc>
      </w:tr>
      <w:tr w:rsidR="0072218B" w:rsidRPr="00172952" w14:paraId="7EE63B91" w14:textId="77777777" w:rsidTr="0072218B">
        <w:trPr>
          <w:trHeight w:val="239"/>
          <w:jc w:val="center"/>
        </w:trPr>
        <w:tc>
          <w:tcPr>
            <w:tcW w:w="1158"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5BD020BE"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1.00%</w:t>
            </w:r>
          </w:p>
        </w:tc>
        <w:tc>
          <w:tcPr>
            <w:tcW w:w="958" w:type="dxa"/>
            <w:tcBorders>
              <w:top w:val="nil"/>
              <w:left w:val="nil"/>
              <w:bottom w:val="single" w:sz="4" w:space="0" w:color="auto"/>
              <w:right w:val="single" w:sz="4" w:space="0" w:color="auto"/>
            </w:tcBorders>
            <w:shd w:val="clear" w:color="auto" w:fill="auto"/>
            <w:noWrap/>
            <w:vAlign w:val="center"/>
            <w:hideMark/>
          </w:tcPr>
          <w:p w14:paraId="5A84FCE7"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18.82</w:t>
            </w:r>
          </w:p>
        </w:tc>
        <w:tc>
          <w:tcPr>
            <w:tcW w:w="958" w:type="dxa"/>
            <w:tcBorders>
              <w:top w:val="nil"/>
              <w:left w:val="nil"/>
              <w:bottom w:val="single" w:sz="4" w:space="0" w:color="auto"/>
              <w:right w:val="single" w:sz="4" w:space="0" w:color="auto"/>
            </w:tcBorders>
            <w:shd w:val="clear" w:color="auto" w:fill="auto"/>
            <w:noWrap/>
            <w:vAlign w:val="center"/>
            <w:hideMark/>
          </w:tcPr>
          <w:p w14:paraId="3AE708A1"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41.84</w:t>
            </w:r>
          </w:p>
        </w:tc>
        <w:tc>
          <w:tcPr>
            <w:tcW w:w="958" w:type="dxa"/>
            <w:tcBorders>
              <w:top w:val="nil"/>
              <w:left w:val="nil"/>
              <w:bottom w:val="single" w:sz="4" w:space="0" w:color="auto"/>
              <w:right w:val="single" w:sz="4" w:space="0" w:color="auto"/>
            </w:tcBorders>
            <w:shd w:val="clear" w:color="auto" w:fill="auto"/>
            <w:noWrap/>
            <w:vAlign w:val="center"/>
            <w:hideMark/>
          </w:tcPr>
          <w:p w14:paraId="4C42D2BE"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90.86</w:t>
            </w:r>
          </w:p>
        </w:tc>
        <w:tc>
          <w:tcPr>
            <w:tcW w:w="958" w:type="dxa"/>
            <w:tcBorders>
              <w:top w:val="nil"/>
              <w:left w:val="nil"/>
              <w:bottom w:val="single" w:sz="4" w:space="0" w:color="auto"/>
              <w:right w:val="single" w:sz="4" w:space="0" w:color="auto"/>
            </w:tcBorders>
            <w:shd w:val="clear" w:color="auto" w:fill="auto"/>
            <w:noWrap/>
            <w:vAlign w:val="center"/>
            <w:hideMark/>
          </w:tcPr>
          <w:p w14:paraId="3A9B9D17"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3.13</w:t>
            </w:r>
          </w:p>
        </w:tc>
      </w:tr>
      <w:tr w:rsidR="0072218B" w:rsidRPr="00172952" w14:paraId="62CE253F" w14:textId="77777777" w:rsidTr="0072218B">
        <w:trPr>
          <w:trHeight w:val="239"/>
          <w:jc w:val="center"/>
        </w:trPr>
        <w:tc>
          <w:tcPr>
            <w:tcW w:w="1158"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61881D10"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2.00%</w:t>
            </w:r>
          </w:p>
        </w:tc>
        <w:tc>
          <w:tcPr>
            <w:tcW w:w="958" w:type="dxa"/>
            <w:tcBorders>
              <w:top w:val="nil"/>
              <w:left w:val="nil"/>
              <w:bottom w:val="single" w:sz="4" w:space="0" w:color="auto"/>
              <w:right w:val="single" w:sz="4" w:space="0" w:color="auto"/>
            </w:tcBorders>
            <w:shd w:val="clear" w:color="auto" w:fill="auto"/>
            <w:noWrap/>
            <w:vAlign w:val="center"/>
            <w:hideMark/>
          </w:tcPr>
          <w:p w14:paraId="3DCFE486"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18.96</w:t>
            </w:r>
          </w:p>
        </w:tc>
        <w:tc>
          <w:tcPr>
            <w:tcW w:w="958" w:type="dxa"/>
            <w:tcBorders>
              <w:top w:val="nil"/>
              <w:left w:val="nil"/>
              <w:bottom w:val="single" w:sz="4" w:space="0" w:color="auto"/>
              <w:right w:val="single" w:sz="4" w:space="0" w:color="auto"/>
            </w:tcBorders>
            <w:shd w:val="clear" w:color="auto" w:fill="auto"/>
            <w:noWrap/>
            <w:vAlign w:val="center"/>
            <w:hideMark/>
          </w:tcPr>
          <w:p w14:paraId="6B7ED03A"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45.40</w:t>
            </w:r>
          </w:p>
        </w:tc>
        <w:tc>
          <w:tcPr>
            <w:tcW w:w="958" w:type="dxa"/>
            <w:tcBorders>
              <w:top w:val="nil"/>
              <w:left w:val="nil"/>
              <w:bottom w:val="single" w:sz="4" w:space="0" w:color="auto"/>
              <w:right w:val="single" w:sz="4" w:space="0" w:color="auto"/>
            </w:tcBorders>
            <w:shd w:val="clear" w:color="auto" w:fill="auto"/>
            <w:noWrap/>
            <w:vAlign w:val="center"/>
            <w:hideMark/>
          </w:tcPr>
          <w:p w14:paraId="7B074251"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98.99</w:t>
            </w:r>
          </w:p>
        </w:tc>
        <w:tc>
          <w:tcPr>
            <w:tcW w:w="958" w:type="dxa"/>
            <w:tcBorders>
              <w:top w:val="nil"/>
              <w:left w:val="nil"/>
              <w:bottom w:val="single" w:sz="4" w:space="0" w:color="auto"/>
              <w:right w:val="single" w:sz="4" w:space="0" w:color="auto"/>
            </w:tcBorders>
            <w:shd w:val="clear" w:color="auto" w:fill="auto"/>
            <w:noWrap/>
            <w:vAlign w:val="center"/>
            <w:hideMark/>
          </w:tcPr>
          <w:p w14:paraId="60882A5D"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3.10</w:t>
            </w:r>
          </w:p>
        </w:tc>
      </w:tr>
      <w:tr w:rsidR="0072218B" w:rsidRPr="00172952" w14:paraId="333CDFB2" w14:textId="77777777" w:rsidTr="0072218B">
        <w:trPr>
          <w:trHeight w:val="239"/>
          <w:jc w:val="center"/>
        </w:trPr>
        <w:tc>
          <w:tcPr>
            <w:tcW w:w="1158"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1977DE92"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3.00%</w:t>
            </w:r>
          </w:p>
        </w:tc>
        <w:tc>
          <w:tcPr>
            <w:tcW w:w="958" w:type="dxa"/>
            <w:tcBorders>
              <w:top w:val="nil"/>
              <w:left w:val="nil"/>
              <w:bottom w:val="single" w:sz="4" w:space="0" w:color="auto"/>
              <w:right w:val="single" w:sz="4" w:space="0" w:color="auto"/>
            </w:tcBorders>
            <w:shd w:val="clear" w:color="auto" w:fill="auto"/>
            <w:noWrap/>
            <w:vAlign w:val="center"/>
            <w:hideMark/>
          </w:tcPr>
          <w:p w14:paraId="26A2441C"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23.43</w:t>
            </w:r>
          </w:p>
        </w:tc>
        <w:tc>
          <w:tcPr>
            <w:tcW w:w="958" w:type="dxa"/>
            <w:tcBorders>
              <w:top w:val="nil"/>
              <w:left w:val="nil"/>
              <w:bottom w:val="single" w:sz="4" w:space="0" w:color="auto"/>
              <w:right w:val="single" w:sz="4" w:space="0" w:color="auto"/>
            </w:tcBorders>
            <w:shd w:val="clear" w:color="auto" w:fill="auto"/>
            <w:noWrap/>
            <w:vAlign w:val="center"/>
            <w:hideMark/>
          </w:tcPr>
          <w:p w14:paraId="3A1B9B12"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68.38</w:t>
            </w:r>
          </w:p>
        </w:tc>
        <w:tc>
          <w:tcPr>
            <w:tcW w:w="958" w:type="dxa"/>
            <w:tcBorders>
              <w:top w:val="nil"/>
              <w:left w:val="nil"/>
              <w:bottom w:val="single" w:sz="4" w:space="0" w:color="auto"/>
              <w:right w:val="single" w:sz="4" w:space="0" w:color="auto"/>
            </w:tcBorders>
            <w:shd w:val="clear" w:color="auto" w:fill="auto"/>
            <w:noWrap/>
            <w:vAlign w:val="center"/>
            <w:hideMark/>
          </w:tcPr>
          <w:p w14:paraId="5018E485"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150.91</w:t>
            </w:r>
          </w:p>
        </w:tc>
        <w:tc>
          <w:tcPr>
            <w:tcW w:w="958" w:type="dxa"/>
            <w:tcBorders>
              <w:top w:val="nil"/>
              <w:left w:val="nil"/>
              <w:bottom w:val="single" w:sz="4" w:space="0" w:color="auto"/>
              <w:right w:val="single" w:sz="4" w:space="0" w:color="auto"/>
            </w:tcBorders>
            <w:shd w:val="clear" w:color="auto" w:fill="auto"/>
            <w:noWrap/>
            <w:vAlign w:val="center"/>
            <w:hideMark/>
          </w:tcPr>
          <w:p w14:paraId="66039A21"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1.52</w:t>
            </w:r>
          </w:p>
        </w:tc>
      </w:tr>
      <w:tr w:rsidR="0072218B" w:rsidRPr="00172952" w14:paraId="66C52EC4" w14:textId="77777777" w:rsidTr="0072218B">
        <w:trPr>
          <w:trHeight w:val="239"/>
          <w:jc w:val="center"/>
        </w:trPr>
        <w:tc>
          <w:tcPr>
            <w:tcW w:w="1158"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415E853B"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4.00%</w:t>
            </w:r>
          </w:p>
        </w:tc>
        <w:tc>
          <w:tcPr>
            <w:tcW w:w="958" w:type="dxa"/>
            <w:tcBorders>
              <w:top w:val="nil"/>
              <w:left w:val="nil"/>
              <w:bottom w:val="single" w:sz="4" w:space="0" w:color="auto"/>
              <w:right w:val="single" w:sz="4" w:space="0" w:color="auto"/>
            </w:tcBorders>
            <w:shd w:val="clear" w:color="auto" w:fill="auto"/>
            <w:noWrap/>
            <w:vAlign w:val="center"/>
            <w:hideMark/>
          </w:tcPr>
          <w:p w14:paraId="622A12E8"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28.17</w:t>
            </w:r>
          </w:p>
        </w:tc>
        <w:tc>
          <w:tcPr>
            <w:tcW w:w="958" w:type="dxa"/>
            <w:tcBorders>
              <w:top w:val="nil"/>
              <w:left w:val="nil"/>
              <w:bottom w:val="single" w:sz="4" w:space="0" w:color="auto"/>
              <w:right w:val="single" w:sz="4" w:space="0" w:color="auto"/>
            </w:tcBorders>
            <w:shd w:val="clear" w:color="auto" w:fill="auto"/>
            <w:noWrap/>
            <w:vAlign w:val="center"/>
            <w:hideMark/>
          </w:tcPr>
          <w:p w14:paraId="03242C65"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78.17</w:t>
            </w:r>
          </w:p>
        </w:tc>
        <w:tc>
          <w:tcPr>
            <w:tcW w:w="958" w:type="dxa"/>
            <w:tcBorders>
              <w:top w:val="nil"/>
              <w:left w:val="nil"/>
              <w:bottom w:val="single" w:sz="4" w:space="0" w:color="auto"/>
              <w:right w:val="single" w:sz="4" w:space="0" w:color="auto"/>
            </w:tcBorders>
            <w:shd w:val="clear" w:color="auto" w:fill="auto"/>
            <w:noWrap/>
            <w:vAlign w:val="center"/>
            <w:hideMark/>
          </w:tcPr>
          <w:p w14:paraId="1DC7D790"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159.70</w:t>
            </w:r>
          </w:p>
        </w:tc>
        <w:tc>
          <w:tcPr>
            <w:tcW w:w="958" w:type="dxa"/>
            <w:tcBorders>
              <w:top w:val="nil"/>
              <w:left w:val="nil"/>
              <w:bottom w:val="single" w:sz="4" w:space="0" w:color="auto"/>
              <w:right w:val="single" w:sz="4" w:space="0" w:color="auto"/>
            </w:tcBorders>
            <w:shd w:val="clear" w:color="auto" w:fill="auto"/>
            <w:noWrap/>
            <w:vAlign w:val="center"/>
            <w:hideMark/>
          </w:tcPr>
          <w:p w14:paraId="16A583FD" w14:textId="77777777" w:rsidR="00172952" w:rsidRPr="00172952" w:rsidRDefault="00172952" w:rsidP="00172952">
            <w:pPr>
              <w:spacing w:after="0"/>
              <w:jc w:val="center"/>
              <w:rPr>
                <w:rFonts w:cs="Arial"/>
                <w:color w:val="000000"/>
                <w:sz w:val="16"/>
                <w:szCs w:val="16"/>
              </w:rPr>
            </w:pPr>
            <w:r w:rsidRPr="00172952">
              <w:rPr>
                <w:rFonts w:cs="Arial"/>
                <w:color w:val="000000"/>
                <w:sz w:val="16"/>
                <w:szCs w:val="16"/>
              </w:rPr>
              <w:t>1.22</w:t>
            </w:r>
          </w:p>
        </w:tc>
      </w:tr>
    </w:tbl>
    <w:p w14:paraId="4E62C674" w14:textId="77777777" w:rsidR="00172952" w:rsidRDefault="00172952" w:rsidP="00233697">
      <w:pPr>
        <w:jc w:val="center"/>
        <w:rPr>
          <w:rFonts w:cs="Arial"/>
          <w:b/>
          <w:sz w:val="16"/>
          <w:szCs w:val="16"/>
        </w:rPr>
      </w:pPr>
    </w:p>
    <w:p w14:paraId="6BD9ABAE" w14:textId="393D0CE4" w:rsidR="00233697" w:rsidRDefault="00233697" w:rsidP="00233697">
      <w:pPr>
        <w:rPr>
          <w:rFonts w:cs="Arial"/>
          <w:b/>
          <w:szCs w:val="18"/>
        </w:rPr>
      </w:pPr>
      <w:r w:rsidRPr="00DE1286">
        <w:rPr>
          <w:rFonts w:cs="Arial"/>
          <w:b/>
          <w:szCs w:val="18"/>
        </w:rPr>
        <w:t xml:space="preserve">Figure 3. </w:t>
      </w:r>
      <w:r w:rsidR="00172952">
        <w:rPr>
          <w:rFonts w:cs="Arial"/>
          <w:b/>
          <w:szCs w:val="18"/>
        </w:rPr>
        <w:t>Mean d</w:t>
      </w:r>
      <w:r w:rsidRPr="00DE1286">
        <w:rPr>
          <w:rFonts w:cs="Arial"/>
          <w:b/>
          <w:szCs w:val="18"/>
        </w:rPr>
        <w:t>roplet</w:t>
      </w:r>
      <w:r w:rsidRPr="00DE1286">
        <w:rPr>
          <w:rFonts w:eastAsia="Arial Unicode MS" w:cs="Arial"/>
          <w:b/>
          <w:szCs w:val="18"/>
        </w:rPr>
        <w:t xml:space="preserve"> size distribution of four batches of aqueous nasal suspension formulations</w:t>
      </w:r>
      <w:r w:rsidRPr="00DE1286">
        <w:rPr>
          <w:rFonts w:cs="Arial"/>
          <w:b/>
          <w:szCs w:val="18"/>
        </w:rPr>
        <w:t xml:space="preserve"> with different amounts of </w:t>
      </w:r>
      <w:proofErr w:type="spellStart"/>
      <w:r w:rsidRPr="00DE1286">
        <w:rPr>
          <w:rFonts w:cs="Arial"/>
          <w:b/>
          <w:szCs w:val="18"/>
        </w:rPr>
        <w:t>Avicel</w:t>
      </w:r>
      <w:proofErr w:type="spellEnd"/>
      <w:r w:rsidRPr="00DE1286">
        <w:rPr>
          <w:rFonts w:cs="Arial"/>
          <w:b/>
          <w:szCs w:val="18"/>
        </w:rPr>
        <w:t xml:space="preserve"> 0.5-4%</w:t>
      </w:r>
      <w:r w:rsidR="00DE1286">
        <w:rPr>
          <w:rFonts w:cs="Arial"/>
          <w:b/>
          <w:szCs w:val="18"/>
        </w:rPr>
        <w:t xml:space="preserve"> w/w</w:t>
      </w:r>
      <w:r w:rsidR="00172952">
        <w:rPr>
          <w:rFonts w:cs="Arial"/>
          <w:b/>
          <w:szCs w:val="18"/>
        </w:rPr>
        <w:t xml:space="preserve"> (n=3)</w:t>
      </w:r>
      <w:r w:rsidRPr="00DE1286">
        <w:rPr>
          <w:rFonts w:cs="Arial"/>
          <w:b/>
          <w:szCs w:val="18"/>
        </w:rPr>
        <w:t>.</w:t>
      </w:r>
    </w:p>
    <w:p w14:paraId="76244ED5" w14:textId="77777777" w:rsidR="00C85006" w:rsidRPr="00DE1286" w:rsidRDefault="00C85006" w:rsidP="00233697">
      <w:pPr>
        <w:rPr>
          <w:rFonts w:cs="Arial"/>
          <w:b/>
          <w:szCs w:val="18"/>
        </w:rPr>
      </w:pPr>
    </w:p>
    <w:p w14:paraId="07944F1E" w14:textId="58DA4361" w:rsidR="001256D7" w:rsidRPr="002D20A5" w:rsidRDefault="001256D7" w:rsidP="001256D7">
      <w:pPr>
        <w:pStyle w:val="DDLBodyText"/>
        <w:rPr>
          <w:b/>
        </w:rPr>
      </w:pPr>
      <w:r w:rsidRPr="001256D7">
        <w:rPr>
          <w:b/>
        </w:rPr>
        <w:t>Investigation of the Particle Size of API Dispersed</w:t>
      </w:r>
      <w:r>
        <w:rPr>
          <w:b/>
        </w:rPr>
        <w:t xml:space="preserve"> by MDRS and Dissolution</w:t>
      </w:r>
    </w:p>
    <w:p w14:paraId="23EA8D75" w14:textId="6B11AAFD" w:rsidR="00623609" w:rsidRPr="00DE1286" w:rsidRDefault="00623609" w:rsidP="002D20A5">
      <w:pPr>
        <w:rPr>
          <w:rFonts w:cs="Arial"/>
          <w:bCs/>
          <w:szCs w:val="18"/>
        </w:rPr>
      </w:pPr>
      <w:r w:rsidRPr="00DE1286">
        <w:rPr>
          <w:rFonts w:cs="Arial"/>
          <w:bCs/>
          <w:szCs w:val="18"/>
        </w:rPr>
        <w:t>The particle size distribution of the formulations</w:t>
      </w:r>
      <w:r w:rsidR="00DE1286">
        <w:rPr>
          <w:rFonts w:cs="Arial"/>
          <w:bCs/>
          <w:szCs w:val="18"/>
        </w:rPr>
        <w:t xml:space="preserve"> containing different concentrations of </w:t>
      </w:r>
      <w:proofErr w:type="spellStart"/>
      <w:r w:rsidR="00DE1286">
        <w:rPr>
          <w:rFonts w:cs="Arial"/>
          <w:bCs/>
          <w:szCs w:val="18"/>
        </w:rPr>
        <w:t>Avicel</w:t>
      </w:r>
      <w:proofErr w:type="spellEnd"/>
      <w:r w:rsidR="00DE1286">
        <w:rPr>
          <w:rFonts w:cs="Arial"/>
          <w:bCs/>
          <w:szCs w:val="18"/>
        </w:rPr>
        <w:t xml:space="preserve"> was measured by MDRS. In addition, the dissolution properties of these formulations</w:t>
      </w:r>
      <w:r w:rsidRPr="00DE1286">
        <w:rPr>
          <w:rFonts w:cs="Arial"/>
          <w:bCs/>
          <w:szCs w:val="18"/>
        </w:rPr>
        <w:t xml:space="preserve"> </w:t>
      </w:r>
      <w:r w:rsidR="00DE1286" w:rsidRPr="00DE1286">
        <w:rPr>
          <w:rFonts w:cs="Arial"/>
          <w:bCs/>
          <w:szCs w:val="18"/>
        </w:rPr>
        <w:t>were</w:t>
      </w:r>
      <w:r w:rsidRPr="00DE1286">
        <w:rPr>
          <w:rFonts w:cs="Arial"/>
          <w:bCs/>
          <w:szCs w:val="18"/>
        </w:rPr>
        <w:t xml:space="preserve"> </w:t>
      </w:r>
      <w:r w:rsidR="00DE1286">
        <w:rPr>
          <w:rFonts w:cs="Arial"/>
          <w:bCs/>
          <w:szCs w:val="18"/>
        </w:rPr>
        <w:t xml:space="preserve">also </w:t>
      </w:r>
      <w:r w:rsidRPr="00DE1286">
        <w:rPr>
          <w:rFonts w:cs="Arial"/>
          <w:bCs/>
          <w:szCs w:val="18"/>
        </w:rPr>
        <w:t>investigated.</w:t>
      </w:r>
      <w:r w:rsidR="00DE1286">
        <w:rPr>
          <w:rFonts w:cs="Arial"/>
          <w:bCs/>
          <w:szCs w:val="18"/>
        </w:rPr>
        <w:t xml:space="preserve"> These data are summarised in Figure 4. There were</w:t>
      </w:r>
      <w:r w:rsidRPr="00DE1286">
        <w:rPr>
          <w:rFonts w:cs="Arial"/>
          <w:bCs/>
          <w:szCs w:val="18"/>
        </w:rPr>
        <w:t xml:space="preserve"> </w:t>
      </w:r>
      <w:r w:rsidR="00DE1286">
        <w:rPr>
          <w:rFonts w:cs="Arial"/>
          <w:bCs/>
          <w:szCs w:val="18"/>
        </w:rPr>
        <w:t>n</w:t>
      </w:r>
      <w:r w:rsidRPr="00DE1286">
        <w:rPr>
          <w:rFonts w:cs="Arial"/>
          <w:bCs/>
          <w:szCs w:val="18"/>
        </w:rPr>
        <w:t>o significant difference</w:t>
      </w:r>
      <w:r w:rsidR="00DE1286">
        <w:rPr>
          <w:rFonts w:cs="Arial"/>
          <w:bCs/>
          <w:szCs w:val="18"/>
        </w:rPr>
        <w:t xml:space="preserve">s in the dissolution of the API in the formulations made with different </w:t>
      </w:r>
      <w:proofErr w:type="spellStart"/>
      <w:r w:rsidR="00DE1286">
        <w:rPr>
          <w:rFonts w:cs="Arial"/>
          <w:bCs/>
          <w:szCs w:val="18"/>
        </w:rPr>
        <w:t>Avicel</w:t>
      </w:r>
      <w:proofErr w:type="spellEnd"/>
      <w:r w:rsidR="00DE1286">
        <w:rPr>
          <w:rFonts w:cs="Arial"/>
          <w:bCs/>
          <w:szCs w:val="18"/>
        </w:rPr>
        <w:t xml:space="preserve"> concentrations. Indeed, MDRS data found no significant differences in the measured particle size of the API. These data therefore </w:t>
      </w:r>
      <w:r w:rsidR="00DE1286" w:rsidRPr="00DE1286">
        <w:rPr>
          <w:rFonts w:cs="Arial"/>
          <w:bCs/>
          <w:szCs w:val="18"/>
        </w:rPr>
        <w:t>suggest</w:t>
      </w:r>
      <w:r w:rsidRPr="00DE1286">
        <w:rPr>
          <w:rFonts w:cs="Arial"/>
          <w:bCs/>
          <w:szCs w:val="18"/>
        </w:rPr>
        <w:t xml:space="preserve"> that no API agglomeration </w:t>
      </w:r>
      <w:r w:rsidR="00DE1286">
        <w:rPr>
          <w:rFonts w:cs="Arial"/>
          <w:bCs/>
          <w:szCs w:val="18"/>
        </w:rPr>
        <w:t>wa</w:t>
      </w:r>
      <w:r w:rsidRPr="00DE1286">
        <w:rPr>
          <w:rFonts w:cs="Arial"/>
          <w:bCs/>
          <w:szCs w:val="18"/>
        </w:rPr>
        <w:t>s observed after actuating the nasal spray even with lower amounts of suspending agent (0.5%</w:t>
      </w:r>
      <w:r w:rsidR="00DE1286">
        <w:rPr>
          <w:rFonts w:cs="Arial"/>
          <w:bCs/>
          <w:szCs w:val="18"/>
        </w:rPr>
        <w:t xml:space="preserve"> w/w</w:t>
      </w:r>
      <w:r w:rsidRPr="00DE1286">
        <w:rPr>
          <w:rFonts w:cs="Arial"/>
          <w:bCs/>
          <w:szCs w:val="18"/>
        </w:rPr>
        <w:t>)</w:t>
      </w:r>
      <w:r w:rsidR="001B71B7" w:rsidRPr="00DE1286">
        <w:rPr>
          <w:rFonts w:cs="Arial"/>
          <w:bCs/>
          <w:szCs w:val="18"/>
        </w:rPr>
        <w:t xml:space="preserve">. </w:t>
      </w:r>
      <w:r w:rsidRPr="00DE1286">
        <w:rPr>
          <w:rFonts w:cs="Arial"/>
          <w:bCs/>
          <w:szCs w:val="18"/>
        </w:rPr>
        <w:t xml:space="preserve"> </w:t>
      </w:r>
    </w:p>
    <w:p w14:paraId="48376E50" w14:textId="5278A74D" w:rsidR="001256D7" w:rsidRDefault="001256D7" w:rsidP="00623609">
      <w:pPr>
        <w:jc w:val="center"/>
        <w:rPr>
          <w:rFonts w:cs="Arial"/>
          <w:b/>
          <w:sz w:val="16"/>
          <w:szCs w:val="16"/>
        </w:rPr>
      </w:pPr>
      <w:r>
        <w:rPr>
          <w:noProof/>
          <w:lang w:val="de-DE" w:eastAsia="de-DE"/>
        </w:rPr>
        <w:lastRenderedPageBreak/>
        <w:drawing>
          <wp:inline distT="0" distB="0" distL="0" distR="0" wp14:anchorId="4BA710D5" wp14:editId="19AA9F18">
            <wp:extent cx="2590800" cy="1577555"/>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4540" cy="1579832"/>
                    </a:xfrm>
                    <a:prstGeom prst="rect">
                      <a:avLst/>
                    </a:prstGeom>
                    <a:noFill/>
                    <a:ln>
                      <a:noFill/>
                    </a:ln>
                  </pic:spPr>
                </pic:pic>
              </a:graphicData>
            </a:graphic>
          </wp:inline>
        </w:drawing>
      </w:r>
      <w:r w:rsidR="0072218B">
        <w:rPr>
          <w:rFonts w:cs="Arial"/>
          <w:b/>
          <w:noProof/>
          <w:sz w:val="16"/>
          <w:szCs w:val="16"/>
        </w:rPr>
        <w:drawing>
          <wp:inline distT="0" distB="0" distL="0" distR="0" wp14:anchorId="2D66E9A0" wp14:editId="79B72849">
            <wp:extent cx="2592000" cy="1558584"/>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2000" cy="1558584"/>
                    </a:xfrm>
                    <a:prstGeom prst="rect">
                      <a:avLst/>
                    </a:prstGeom>
                    <a:noFill/>
                  </pic:spPr>
                </pic:pic>
              </a:graphicData>
            </a:graphic>
          </wp:inline>
        </w:drawing>
      </w:r>
    </w:p>
    <w:p w14:paraId="649A7D17" w14:textId="5E975E3F" w:rsidR="001B71B7" w:rsidRPr="00DE1286" w:rsidRDefault="001B71B7" w:rsidP="001B71B7">
      <w:pPr>
        <w:rPr>
          <w:rFonts w:cs="Arial"/>
          <w:b/>
          <w:szCs w:val="18"/>
        </w:rPr>
      </w:pPr>
      <w:r w:rsidRPr="00DE1286">
        <w:rPr>
          <w:rFonts w:cs="Arial"/>
          <w:b/>
          <w:szCs w:val="18"/>
        </w:rPr>
        <w:t xml:space="preserve">Figure </w:t>
      </w:r>
      <w:r w:rsidR="00DE1286" w:rsidRPr="00DE1286">
        <w:rPr>
          <w:rFonts w:cs="Arial"/>
          <w:b/>
          <w:szCs w:val="18"/>
        </w:rPr>
        <w:t>4</w:t>
      </w:r>
      <w:r w:rsidRPr="00DE1286">
        <w:rPr>
          <w:rFonts w:cs="Arial"/>
          <w:b/>
          <w:szCs w:val="18"/>
        </w:rPr>
        <w:t xml:space="preserve">. </w:t>
      </w:r>
      <w:r w:rsidR="00172952">
        <w:rPr>
          <w:rFonts w:cs="Arial"/>
          <w:b/>
          <w:szCs w:val="18"/>
        </w:rPr>
        <w:t xml:space="preserve">Mean </w:t>
      </w:r>
      <w:r w:rsidRPr="00DE1286">
        <w:rPr>
          <w:rFonts w:cs="Arial"/>
          <w:b/>
          <w:szCs w:val="18"/>
        </w:rPr>
        <w:t xml:space="preserve">Dissolution analysis (left) and </w:t>
      </w:r>
      <w:r w:rsidR="00172952">
        <w:rPr>
          <w:rFonts w:cs="Arial"/>
          <w:b/>
          <w:szCs w:val="18"/>
        </w:rPr>
        <w:t xml:space="preserve">mean </w:t>
      </w:r>
      <w:r w:rsidRPr="00DE1286">
        <w:rPr>
          <w:rFonts w:eastAsia="Arial Unicode MS" w:cs="Arial"/>
          <w:b/>
          <w:szCs w:val="18"/>
        </w:rPr>
        <w:t>MDRS particle size distribution (right) of four batches of aqueous nasal suspension formulations</w:t>
      </w:r>
      <w:r w:rsidRPr="00DE1286">
        <w:rPr>
          <w:rFonts w:cs="Arial"/>
          <w:b/>
          <w:szCs w:val="18"/>
        </w:rPr>
        <w:t xml:space="preserve"> with different amounts of </w:t>
      </w:r>
      <w:proofErr w:type="spellStart"/>
      <w:r w:rsidRPr="00DE1286">
        <w:rPr>
          <w:rFonts w:cs="Arial"/>
          <w:b/>
          <w:szCs w:val="18"/>
        </w:rPr>
        <w:t>Avicel</w:t>
      </w:r>
      <w:proofErr w:type="spellEnd"/>
      <w:r w:rsidRPr="00DE1286">
        <w:rPr>
          <w:rFonts w:cs="Arial"/>
          <w:b/>
          <w:szCs w:val="18"/>
        </w:rPr>
        <w:t xml:space="preserve"> 0.5-4%</w:t>
      </w:r>
      <w:r w:rsidR="00DE1286" w:rsidRPr="00DE1286">
        <w:rPr>
          <w:rFonts w:cs="Arial"/>
          <w:b/>
          <w:szCs w:val="18"/>
        </w:rPr>
        <w:t xml:space="preserve"> w/w</w:t>
      </w:r>
      <w:r w:rsidR="00172952">
        <w:rPr>
          <w:rFonts w:cs="Arial"/>
          <w:b/>
          <w:szCs w:val="18"/>
        </w:rPr>
        <w:t xml:space="preserve"> (n=3)</w:t>
      </w:r>
      <w:r w:rsidRPr="00DE1286">
        <w:rPr>
          <w:rFonts w:cs="Arial"/>
          <w:b/>
          <w:szCs w:val="18"/>
        </w:rPr>
        <w:t>.</w:t>
      </w:r>
    </w:p>
    <w:p w14:paraId="28719A96" w14:textId="114A95DD" w:rsidR="002D20A5" w:rsidRPr="002D20A5" w:rsidRDefault="002D20A5" w:rsidP="00D156FE">
      <w:pPr>
        <w:pStyle w:val="DDLHeading1"/>
      </w:pPr>
      <w:r>
        <w:t>Conclusion</w:t>
      </w:r>
    </w:p>
    <w:p w14:paraId="76F6643C" w14:textId="7AD04C79" w:rsidR="008F17BD" w:rsidRDefault="008F17BD" w:rsidP="008F17BD">
      <w:pPr>
        <w:pStyle w:val="DDLBodyText"/>
        <w:rPr>
          <w:lang w:val="en-US"/>
        </w:rPr>
      </w:pPr>
      <w:r>
        <w:rPr>
          <w:lang w:val="en-US"/>
        </w:rPr>
        <w:t xml:space="preserve">The proportion of </w:t>
      </w:r>
      <w:proofErr w:type="spellStart"/>
      <w:r>
        <w:rPr>
          <w:lang w:val="en-US"/>
        </w:rPr>
        <w:t>Avicel</w:t>
      </w:r>
      <w:proofErr w:type="spellEnd"/>
      <w:r>
        <w:rPr>
          <w:lang w:val="en-US"/>
        </w:rPr>
        <w:t xml:space="preserve"> in a</w:t>
      </w:r>
      <w:r w:rsidR="00233697">
        <w:rPr>
          <w:lang w:val="en-US"/>
        </w:rPr>
        <w:t>n</w:t>
      </w:r>
      <w:r>
        <w:rPr>
          <w:lang w:val="en-US"/>
        </w:rPr>
        <w:t xml:space="preserve"> aqueous nasal suspension will determine the rheology properties of the formulations and have a direct influence on the Droplet Size Distribution and particles morphology. However, the state of agglomeration of the API in the short term was</w:t>
      </w:r>
      <w:r w:rsidR="00B00481">
        <w:rPr>
          <w:lang w:val="en-US"/>
        </w:rPr>
        <w:t xml:space="preserve"> not</w:t>
      </w:r>
      <w:r>
        <w:rPr>
          <w:lang w:val="en-US"/>
        </w:rPr>
        <w:t xml:space="preserve"> affected in this study</w:t>
      </w:r>
      <w:r w:rsidR="002A75C3">
        <w:rPr>
          <w:lang w:val="en-US"/>
        </w:rPr>
        <w:t xml:space="preserve">. </w:t>
      </w:r>
    </w:p>
    <w:p w14:paraId="552B63EF" w14:textId="615FB681" w:rsidR="008F17BD" w:rsidRPr="008F17BD" w:rsidRDefault="002A75C3" w:rsidP="002A75C3">
      <w:pPr>
        <w:pStyle w:val="DDLBodyText"/>
        <w:rPr>
          <w:lang w:val="en-US"/>
        </w:rPr>
      </w:pPr>
      <w:r>
        <w:rPr>
          <w:lang w:val="en-US"/>
        </w:rPr>
        <w:t xml:space="preserve">The application of rheology and morphology studies combined with API PSD evaluation through MDRS and dissolution enables greater </w:t>
      </w:r>
      <w:r w:rsidR="008F17BD" w:rsidRPr="008F17BD">
        <w:rPr>
          <w:lang w:val="en-US"/>
        </w:rPr>
        <w:t>understanding of the structure of the formulated product and can also aid BE studies. Together, these</w:t>
      </w:r>
      <w:r w:rsidR="008F17BD">
        <w:rPr>
          <w:lang w:val="en-US"/>
        </w:rPr>
        <w:t xml:space="preserve"> </w:t>
      </w:r>
      <w:r w:rsidR="008F17BD" w:rsidRPr="008F17BD">
        <w:rPr>
          <w:lang w:val="en-US"/>
        </w:rPr>
        <w:t>analytical methods may facilitate the determination of critical material and process attributes that may</w:t>
      </w:r>
      <w:r w:rsidR="008F17BD">
        <w:rPr>
          <w:lang w:val="en-US"/>
        </w:rPr>
        <w:t xml:space="preserve"> </w:t>
      </w:r>
      <w:r w:rsidR="008F17BD" w:rsidRPr="008F17BD">
        <w:rPr>
          <w:lang w:val="en-US"/>
        </w:rPr>
        <w:t>affect drug product quality</w:t>
      </w:r>
      <w:r>
        <w:rPr>
          <w:lang w:val="en-US"/>
        </w:rPr>
        <w:t xml:space="preserve"> and give scientific support to changes in the manufacturing process.</w:t>
      </w:r>
    </w:p>
    <w:p w14:paraId="6B4DF2E9" w14:textId="77777777" w:rsidR="007D307A" w:rsidRPr="00BD68AD" w:rsidRDefault="007D307A" w:rsidP="00D156FE">
      <w:pPr>
        <w:pStyle w:val="DDLHeading1"/>
      </w:pPr>
      <w:r w:rsidRPr="00BD68AD">
        <w:t>References</w:t>
      </w:r>
    </w:p>
    <w:p w14:paraId="06FD30DF" w14:textId="77777777" w:rsidR="00B71695" w:rsidRPr="00DE1286" w:rsidRDefault="00B71695" w:rsidP="00B71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DE1286">
        <w:rPr>
          <w:color w:val="000000"/>
          <w:sz w:val="16"/>
          <w:szCs w:val="16"/>
        </w:rPr>
        <w:fldChar w:fldCharType="begin"/>
      </w:r>
      <w:r w:rsidRPr="00DE1286">
        <w:rPr>
          <w:color w:val="000000"/>
          <w:sz w:val="16"/>
          <w:szCs w:val="16"/>
        </w:rPr>
        <w:instrText xml:space="preserve"> ADDIN PAPERS2_CITATIONS &lt;papers2_bibliography/&gt;</w:instrText>
      </w:r>
      <w:r w:rsidRPr="00DE1286">
        <w:rPr>
          <w:color w:val="000000"/>
          <w:sz w:val="16"/>
          <w:szCs w:val="16"/>
        </w:rPr>
        <w:fldChar w:fldCharType="separate"/>
      </w:r>
      <w:r w:rsidRPr="00DE1286">
        <w:rPr>
          <w:rFonts w:cs="Arial"/>
          <w:sz w:val="16"/>
          <w:szCs w:val="16"/>
          <w:lang w:val="en-US"/>
        </w:rPr>
        <w:t xml:space="preserve">1. Li BV, Jin F, Lee SL, Bai T, Chowdhury B, Caramenico HT, Conner DP: </w:t>
      </w:r>
      <w:r w:rsidRPr="00DE1286">
        <w:rPr>
          <w:rFonts w:cs="Arial"/>
          <w:bCs/>
          <w:sz w:val="16"/>
          <w:szCs w:val="16"/>
          <w:lang w:val="en-US"/>
        </w:rPr>
        <w:t>Bioequivalence for Locally Acting Nasal Spray and Nasal Aerosol Products: Standard Development and Generic Approval</w:t>
      </w:r>
      <w:r w:rsidRPr="00DE1286">
        <w:rPr>
          <w:rFonts w:cs="Arial"/>
          <w:sz w:val="16"/>
          <w:szCs w:val="16"/>
          <w:lang w:val="en-US"/>
        </w:rPr>
        <w:t xml:space="preserve">. </w:t>
      </w:r>
      <w:r w:rsidRPr="00DE1286">
        <w:rPr>
          <w:rFonts w:cs="Arial"/>
          <w:i/>
          <w:iCs/>
          <w:sz w:val="16"/>
          <w:szCs w:val="16"/>
          <w:lang w:val="en-US"/>
        </w:rPr>
        <w:t>AAPS J</w:t>
      </w:r>
      <w:r w:rsidRPr="00DE1286">
        <w:rPr>
          <w:rFonts w:cs="Arial"/>
          <w:sz w:val="16"/>
          <w:szCs w:val="16"/>
          <w:lang w:val="en-US"/>
        </w:rPr>
        <w:t xml:space="preserve"> 2013, </w:t>
      </w:r>
      <w:r w:rsidRPr="00DE1286">
        <w:rPr>
          <w:rFonts w:cs="Arial"/>
          <w:bCs/>
          <w:sz w:val="16"/>
          <w:szCs w:val="16"/>
          <w:lang w:val="en-US"/>
        </w:rPr>
        <w:t>15</w:t>
      </w:r>
      <w:r w:rsidRPr="00DE1286">
        <w:rPr>
          <w:rFonts w:cs="Arial"/>
          <w:sz w:val="16"/>
          <w:szCs w:val="16"/>
          <w:lang w:val="en-US"/>
        </w:rPr>
        <w:t>:875–883.</w:t>
      </w:r>
    </w:p>
    <w:p w14:paraId="3A48892B" w14:textId="77777777" w:rsidR="00B71695" w:rsidRPr="00DE1286" w:rsidRDefault="00B71695" w:rsidP="00B71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DE1286">
        <w:rPr>
          <w:rFonts w:cs="Arial"/>
          <w:sz w:val="16"/>
          <w:szCs w:val="16"/>
          <w:lang w:val="en-US"/>
        </w:rPr>
        <w:t xml:space="preserve">2. Doub WH, Adams WP, Wokovich AM, Black JC, Shen M, Buhse LF: </w:t>
      </w:r>
      <w:r w:rsidRPr="00DE1286">
        <w:rPr>
          <w:rFonts w:cs="Arial"/>
          <w:bCs/>
          <w:sz w:val="16"/>
          <w:szCs w:val="16"/>
          <w:lang w:val="en-US"/>
        </w:rPr>
        <w:t>Measurement of drug in small particles from aqueous nasal sprays by Andersen Cascade Impactor.</w:t>
      </w:r>
      <w:r w:rsidRPr="00DE1286">
        <w:rPr>
          <w:rFonts w:cs="Arial"/>
          <w:sz w:val="16"/>
          <w:szCs w:val="16"/>
          <w:lang w:val="en-US"/>
        </w:rPr>
        <w:t xml:space="preserve"> </w:t>
      </w:r>
      <w:r w:rsidRPr="00DE1286">
        <w:rPr>
          <w:rFonts w:cs="Arial"/>
          <w:i/>
          <w:iCs/>
          <w:sz w:val="16"/>
          <w:szCs w:val="16"/>
          <w:lang w:val="en-US"/>
        </w:rPr>
        <w:t>Pharmaceutical Research</w:t>
      </w:r>
      <w:r w:rsidRPr="00DE1286">
        <w:rPr>
          <w:rFonts w:cs="Arial"/>
          <w:sz w:val="16"/>
          <w:szCs w:val="16"/>
          <w:lang w:val="en-US"/>
        </w:rPr>
        <w:t xml:space="preserve"> 2012, </w:t>
      </w:r>
      <w:r w:rsidRPr="00DE1286">
        <w:rPr>
          <w:rFonts w:cs="Arial"/>
          <w:bCs/>
          <w:sz w:val="16"/>
          <w:szCs w:val="16"/>
          <w:lang w:val="en-US"/>
        </w:rPr>
        <w:t>29</w:t>
      </w:r>
      <w:r w:rsidRPr="00DE1286">
        <w:rPr>
          <w:rFonts w:cs="Arial"/>
          <w:sz w:val="16"/>
          <w:szCs w:val="16"/>
          <w:lang w:val="en-US"/>
        </w:rPr>
        <w:t>:3122–3130.</w:t>
      </w:r>
    </w:p>
    <w:p w14:paraId="0BC30C45" w14:textId="77777777" w:rsidR="00B71695" w:rsidRPr="00DE1286" w:rsidRDefault="00B71695" w:rsidP="00B71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DE1286">
        <w:rPr>
          <w:rFonts w:cs="Arial"/>
          <w:sz w:val="16"/>
          <w:szCs w:val="16"/>
          <w:lang w:val="en-US"/>
        </w:rPr>
        <w:t xml:space="preserve">3. Doub WH, Adams WP, Spencer JA, Buhse LF, Nelson MP, Treado PJ: </w:t>
      </w:r>
      <w:r w:rsidRPr="00DE1286">
        <w:rPr>
          <w:rFonts w:cs="Arial"/>
          <w:bCs/>
          <w:sz w:val="16"/>
          <w:szCs w:val="16"/>
          <w:lang w:val="en-US"/>
        </w:rPr>
        <w:t>Raman chemical imaging for ingredient-specific particle size characterization of aqueous suspension nasal spray formulations: a progress report.</w:t>
      </w:r>
      <w:r w:rsidRPr="00DE1286">
        <w:rPr>
          <w:rFonts w:cs="Arial"/>
          <w:sz w:val="16"/>
          <w:szCs w:val="16"/>
          <w:lang w:val="en-US"/>
        </w:rPr>
        <w:t xml:space="preserve"> </w:t>
      </w:r>
      <w:r w:rsidRPr="00DE1286">
        <w:rPr>
          <w:rFonts w:cs="Arial"/>
          <w:i/>
          <w:iCs/>
          <w:sz w:val="16"/>
          <w:szCs w:val="16"/>
          <w:lang w:val="en-US"/>
        </w:rPr>
        <w:t>Pharmaceutical Research</w:t>
      </w:r>
      <w:r w:rsidRPr="00DE1286">
        <w:rPr>
          <w:rFonts w:cs="Arial"/>
          <w:sz w:val="16"/>
          <w:szCs w:val="16"/>
          <w:lang w:val="en-US"/>
        </w:rPr>
        <w:t xml:space="preserve"> 2007, </w:t>
      </w:r>
      <w:r w:rsidRPr="00DE1286">
        <w:rPr>
          <w:rFonts w:cs="Arial"/>
          <w:bCs/>
          <w:sz w:val="16"/>
          <w:szCs w:val="16"/>
          <w:lang w:val="en-US"/>
        </w:rPr>
        <w:t>24</w:t>
      </w:r>
      <w:r w:rsidRPr="00DE1286">
        <w:rPr>
          <w:rFonts w:cs="Arial"/>
          <w:sz w:val="16"/>
          <w:szCs w:val="16"/>
          <w:lang w:val="en-US"/>
        </w:rPr>
        <w:t>:934–945.</w:t>
      </w:r>
    </w:p>
    <w:p w14:paraId="54BA57C8" w14:textId="77777777" w:rsidR="00B71695" w:rsidRPr="00DE1286" w:rsidRDefault="00B71695" w:rsidP="00B71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DE1286">
        <w:rPr>
          <w:rFonts w:cs="Arial"/>
          <w:sz w:val="16"/>
          <w:szCs w:val="16"/>
          <w:lang w:val="en-US"/>
        </w:rPr>
        <w:t xml:space="preserve">4. Rygg A, Hindle M, Longest PW: </w:t>
      </w:r>
      <w:r w:rsidRPr="00DE1286">
        <w:rPr>
          <w:rFonts w:cs="Arial"/>
          <w:bCs/>
          <w:sz w:val="16"/>
          <w:szCs w:val="16"/>
          <w:lang w:val="en-US"/>
        </w:rPr>
        <w:t>Absorption and Clearance of Pharmaceutical Aerosols in the Human Nose: Effects of Nasal Spray Suspension Particle Size and Properties.</w:t>
      </w:r>
      <w:r w:rsidRPr="00DE1286">
        <w:rPr>
          <w:rFonts w:cs="Arial"/>
          <w:sz w:val="16"/>
          <w:szCs w:val="16"/>
          <w:lang w:val="en-US"/>
        </w:rPr>
        <w:t xml:space="preserve"> </w:t>
      </w:r>
      <w:r w:rsidRPr="00DE1286">
        <w:rPr>
          <w:rFonts w:cs="Arial"/>
          <w:i/>
          <w:iCs/>
          <w:sz w:val="16"/>
          <w:szCs w:val="16"/>
          <w:lang w:val="en-US"/>
        </w:rPr>
        <w:t>Pharmaceutical Research</w:t>
      </w:r>
      <w:r w:rsidRPr="00DE1286">
        <w:rPr>
          <w:rFonts w:cs="Arial"/>
          <w:sz w:val="16"/>
          <w:szCs w:val="16"/>
          <w:lang w:val="en-US"/>
        </w:rPr>
        <w:t xml:space="preserve"> 2015:1–13.</w:t>
      </w:r>
    </w:p>
    <w:p w14:paraId="0BC66DA6" w14:textId="77777777" w:rsidR="00B71695" w:rsidRPr="00DE1286" w:rsidRDefault="00B71695" w:rsidP="00B71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DE1286">
        <w:rPr>
          <w:rFonts w:cs="Arial"/>
          <w:sz w:val="16"/>
          <w:szCs w:val="16"/>
          <w:lang w:val="en-US"/>
        </w:rPr>
        <w:t xml:space="preserve">5. Mitchell J, Bauer R, Lyapustina S, Tougas T, Glaab V: </w:t>
      </w:r>
      <w:r w:rsidRPr="00DE1286">
        <w:rPr>
          <w:rFonts w:cs="Arial"/>
          <w:bCs/>
          <w:sz w:val="16"/>
          <w:szCs w:val="16"/>
          <w:lang w:val="en-US"/>
        </w:rPr>
        <w:t>Non-impactor-Based Methods for Sizing of Aerosols Emitted from Orally Inhaled and Nasal Drug Products (OINDPs)</w:t>
      </w:r>
      <w:r w:rsidRPr="00DE1286">
        <w:rPr>
          <w:rFonts w:cs="Arial"/>
          <w:sz w:val="16"/>
          <w:szCs w:val="16"/>
          <w:lang w:val="en-US"/>
        </w:rPr>
        <w:t xml:space="preserve">. </w:t>
      </w:r>
      <w:r w:rsidRPr="00DE1286">
        <w:rPr>
          <w:rFonts w:cs="Arial"/>
          <w:i/>
          <w:iCs/>
          <w:sz w:val="16"/>
          <w:szCs w:val="16"/>
          <w:lang w:val="en-US"/>
        </w:rPr>
        <w:t>AAPS PharmSciTech</w:t>
      </w:r>
      <w:r w:rsidRPr="00DE1286">
        <w:rPr>
          <w:rFonts w:cs="Arial"/>
          <w:sz w:val="16"/>
          <w:szCs w:val="16"/>
          <w:lang w:val="en-US"/>
        </w:rPr>
        <w:t xml:space="preserve"> 2011, </w:t>
      </w:r>
      <w:r w:rsidRPr="00DE1286">
        <w:rPr>
          <w:rFonts w:cs="Arial"/>
          <w:bCs/>
          <w:sz w:val="16"/>
          <w:szCs w:val="16"/>
          <w:lang w:val="en-US"/>
        </w:rPr>
        <w:t>12</w:t>
      </w:r>
      <w:r w:rsidRPr="00DE1286">
        <w:rPr>
          <w:rFonts w:cs="Arial"/>
          <w:sz w:val="16"/>
          <w:szCs w:val="16"/>
          <w:lang w:val="en-US"/>
        </w:rPr>
        <w:t>:965–988.</w:t>
      </w:r>
    </w:p>
    <w:p w14:paraId="5669328D" w14:textId="77777777" w:rsidR="00B71695" w:rsidRPr="00DE1286" w:rsidRDefault="00B71695" w:rsidP="00B7169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DE1286">
        <w:rPr>
          <w:rFonts w:cs="Arial"/>
          <w:sz w:val="16"/>
          <w:szCs w:val="16"/>
          <w:lang w:val="en-US"/>
        </w:rPr>
        <w:t xml:space="preserve">6. Sharpe SA, Sandweiss V, Tuazon J, Giordano M, Witchey-Lakshmanan L, Hart J, Sequeira J: </w:t>
      </w:r>
      <w:r w:rsidRPr="00DE1286">
        <w:rPr>
          <w:rFonts w:cs="Arial"/>
          <w:bCs/>
          <w:sz w:val="16"/>
          <w:szCs w:val="16"/>
          <w:lang w:val="en-US"/>
        </w:rPr>
        <w:t>Comparison of the flow properties of aqueous suspension corticosteroid nasal sprays under differing sampling conditions.</w:t>
      </w:r>
      <w:r w:rsidRPr="00DE1286">
        <w:rPr>
          <w:rFonts w:cs="Arial"/>
          <w:sz w:val="16"/>
          <w:szCs w:val="16"/>
          <w:lang w:val="en-US"/>
        </w:rPr>
        <w:t xml:space="preserve"> </w:t>
      </w:r>
      <w:r w:rsidRPr="00DE1286">
        <w:rPr>
          <w:rFonts w:cs="Arial"/>
          <w:i/>
          <w:iCs/>
          <w:sz w:val="16"/>
          <w:szCs w:val="16"/>
          <w:lang w:val="en-US"/>
        </w:rPr>
        <w:t>Drug Dev Ind Pharm</w:t>
      </w:r>
      <w:r w:rsidRPr="00DE1286">
        <w:rPr>
          <w:rFonts w:cs="Arial"/>
          <w:sz w:val="16"/>
          <w:szCs w:val="16"/>
          <w:lang w:val="en-US"/>
        </w:rPr>
        <w:t xml:space="preserve"> 2003, </w:t>
      </w:r>
      <w:r w:rsidRPr="00DE1286">
        <w:rPr>
          <w:rFonts w:cs="Arial"/>
          <w:bCs/>
          <w:sz w:val="16"/>
          <w:szCs w:val="16"/>
          <w:lang w:val="en-US"/>
        </w:rPr>
        <w:t>29</w:t>
      </w:r>
      <w:r w:rsidRPr="00DE1286">
        <w:rPr>
          <w:rFonts w:cs="Arial"/>
          <w:sz w:val="16"/>
          <w:szCs w:val="16"/>
          <w:lang w:val="en-US"/>
        </w:rPr>
        <w:t>:1005–1012.</w:t>
      </w:r>
    </w:p>
    <w:p w14:paraId="2D205383" w14:textId="2756FD0F" w:rsidR="00AB439D" w:rsidRPr="00DE1286" w:rsidRDefault="00AB439D" w:rsidP="00AB43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ind w:left="227" w:hanging="227"/>
        <w:rPr>
          <w:rFonts w:cs="Arial"/>
          <w:sz w:val="16"/>
          <w:szCs w:val="16"/>
          <w:lang w:val="en-US"/>
        </w:rPr>
      </w:pPr>
      <w:r w:rsidRPr="00DE1286">
        <w:rPr>
          <w:rFonts w:cs="Arial"/>
          <w:sz w:val="16"/>
          <w:szCs w:val="16"/>
          <w:lang w:val="en-US"/>
        </w:rPr>
        <w:t>7. Shur J, The development of predictive dissolution methods for orally inhaled drug products. Available at http://ipacrs.org/assets/uploads/outputs/02_UoB_JS_Final_HOv2.pdf.</w:t>
      </w:r>
    </w:p>
    <w:p w14:paraId="5FBA1A98" w14:textId="69F13092" w:rsidR="006D599D" w:rsidRPr="00AB439D" w:rsidRDefault="00B71695" w:rsidP="00B71695">
      <w:pPr>
        <w:pStyle w:val="DDLBodyText"/>
        <w:rPr>
          <w:vertAlign w:val="superscript"/>
        </w:rPr>
      </w:pPr>
      <w:r w:rsidRPr="00DE1286">
        <w:rPr>
          <w:color w:val="000000"/>
          <w:sz w:val="16"/>
          <w:szCs w:val="16"/>
        </w:rPr>
        <w:fldChar w:fldCharType="end"/>
      </w:r>
    </w:p>
    <w:sectPr w:rsidR="006D599D" w:rsidRPr="00AB439D" w:rsidSect="00B719D1">
      <w:headerReference w:type="even" r:id="rId13"/>
      <w:headerReference w:type="default" r:id="rId14"/>
      <w:endnotePr>
        <w:numFmt w:val="decimal"/>
      </w:endnotePr>
      <w:pgSz w:w="11907" w:h="16839" w:code="9"/>
      <w:pgMar w:top="1304" w:right="1304" w:bottom="1531" w:left="1531" w:header="720" w:footer="72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2F8D47" w14:textId="77777777" w:rsidR="00451AF9" w:rsidRDefault="00451AF9" w:rsidP="00A515A9">
      <w:pPr>
        <w:spacing w:after="0"/>
      </w:pPr>
      <w:r>
        <w:separator/>
      </w:r>
    </w:p>
  </w:endnote>
  <w:endnote w:type="continuationSeparator" w:id="0">
    <w:p w14:paraId="6F4B5ACA" w14:textId="77777777" w:rsidR="00451AF9" w:rsidRDefault="00451AF9"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CCCA6F" w14:textId="77777777" w:rsidR="00451AF9" w:rsidRDefault="00451AF9" w:rsidP="00A515A9">
      <w:pPr>
        <w:spacing w:after="0"/>
      </w:pPr>
      <w:r>
        <w:separator/>
      </w:r>
    </w:p>
  </w:footnote>
  <w:footnote w:type="continuationSeparator" w:id="0">
    <w:p w14:paraId="21498F08" w14:textId="77777777" w:rsidR="00451AF9" w:rsidRDefault="00451AF9"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F97D9" w14:textId="06445389" w:rsidR="00C126B9" w:rsidRPr="00881895" w:rsidRDefault="009A52B9" w:rsidP="00964A86">
    <w:pPr>
      <w:pStyle w:val="Header"/>
      <w:pBdr>
        <w:bottom w:val="single" w:sz="6" w:space="1" w:color="auto"/>
      </w:pBdr>
      <w:jc w:val="left"/>
      <w:rPr>
        <w:i/>
      </w:rPr>
    </w:pPr>
    <w:r w:rsidRPr="00881895">
      <w:rPr>
        <w:i/>
      </w:rPr>
      <w:t xml:space="preserve">Drug Delivery to the Lungs </w:t>
    </w:r>
    <w:r w:rsidR="002E77AE">
      <w:rPr>
        <w:i/>
      </w:rPr>
      <w:t>(DDL201</w:t>
    </w:r>
    <w:r w:rsidR="00A8203B">
      <w:rPr>
        <w:i/>
      </w:rPr>
      <w:t>9</w:t>
    </w:r>
    <w:r w:rsidR="002E77AE">
      <w:rPr>
        <w:i/>
      </w:rPr>
      <w:t>)</w:t>
    </w:r>
    <w:r w:rsidR="00964A86" w:rsidRPr="00881895">
      <w:rPr>
        <w:i/>
      </w:rPr>
      <w:t>, 201</w:t>
    </w:r>
    <w:r w:rsidR="00A8203B">
      <w:rPr>
        <w:i/>
      </w:rPr>
      <w:t>9</w:t>
    </w:r>
    <w:r w:rsidR="00964A86" w:rsidRPr="00881895">
      <w:rPr>
        <w:i/>
      </w:rPr>
      <w:t xml:space="preserve"> </w:t>
    </w:r>
    <w:r w:rsidRPr="00881895">
      <w:rPr>
        <w:i/>
      </w:rPr>
      <w:t xml:space="preserve">- </w:t>
    </w:r>
    <w:r w:rsidR="00990C1E">
      <w:fldChar w:fldCharType="begin"/>
    </w:r>
    <w:r w:rsidR="00990C1E">
      <w:instrText xml:space="preserve"> REF Title \h  \* MERGEFORMAT </w:instrText>
    </w:r>
    <w:r w:rsidR="00990C1E">
      <w:fldChar w:fldCharType="separate"/>
    </w:r>
    <w:sdt>
      <w:sdtPr>
        <w:rPr>
          <w:i/>
        </w:rPr>
        <w:alias w:val="Title"/>
        <w:tag w:val="Title"/>
        <w:id w:val="-712966800"/>
        <w:lock w:val="sdtLocked"/>
        <w:placeholder>
          <w:docPart w:val="B046F90048CB4F0380F99889E7477724"/>
        </w:placeholder>
      </w:sdtPr>
      <w:sdtEndPr>
        <w:rPr>
          <w:rStyle w:val="PlaceholderText"/>
          <w:i w:val="0"/>
          <w:color w:val="808080"/>
        </w:rPr>
      </w:sdtEndPr>
      <w:sdtContent>
        <w:sdt>
          <w:sdtPr>
            <w:rPr>
              <w:color w:val="808080"/>
            </w:rPr>
            <w:alias w:val="Title"/>
            <w:tag w:val="Title"/>
            <w:id w:val="-1692372120"/>
            <w:placeholder>
              <w:docPart w:val="428BF80923C63746A79A359B2838A902"/>
            </w:placeholder>
          </w:sdtPr>
          <w:sdtEndPr>
            <w:rPr>
              <w:color w:val="auto"/>
            </w:rPr>
          </w:sdtEndPr>
          <w:sdtContent>
            <w:r w:rsidR="002D20A5" w:rsidRPr="00444A39">
              <w:rPr>
                <w:rFonts w:eastAsia="Batang"/>
                <w:bCs/>
                <w:color w:val="000000"/>
                <w:lang w:val="en-US"/>
              </w:rPr>
              <w:t xml:space="preserve">Investigating orthogonal </w:t>
            </w:r>
            <w:r w:rsidR="002D20A5">
              <w:rPr>
                <w:rFonts w:eastAsia="Batang"/>
                <w:color w:val="000000"/>
                <w:lang w:val="en-US"/>
              </w:rPr>
              <w:t xml:space="preserve">in vitro </w:t>
            </w:r>
            <w:r w:rsidR="002D20A5" w:rsidRPr="00444A39">
              <w:rPr>
                <w:rFonts w:eastAsia="Batang"/>
                <w:bCs/>
                <w:color w:val="000000"/>
                <w:lang w:val="en-US"/>
              </w:rPr>
              <w:t>analytical approaches to demonstrate bioequivalence of nasal suspension formulations</w:t>
            </w:r>
            <w:r w:rsidR="002D20A5" w:rsidRPr="00444A39">
              <w:rPr>
                <w:color w:val="000000"/>
              </w:rPr>
              <w:t xml:space="preserve"> </w:t>
            </w:r>
            <w:r w:rsidR="002D20A5">
              <w:rPr>
                <w:color w:val="000000"/>
              </w:rPr>
              <w:t xml:space="preserve"> </w:t>
            </w:r>
          </w:sdtContent>
        </w:sdt>
      </w:sdtContent>
    </w:sdt>
    <w:r w:rsidR="00990C1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C0685" w14:textId="0FDDC4F1" w:rsidR="00964A86" w:rsidRPr="00964A86" w:rsidRDefault="002E77AE" w:rsidP="00964A86">
    <w:pPr>
      <w:pStyle w:val="Header"/>
      <w:pBdr>
        <w:bottom w:val="single" w:sz="6" w:space="1" w:color="auto"/>
      </w:pBdr>
      <w:rPr>
        <w:i/>
      </w:rPr>
    </w:pPr>
    <w:r>
      <w:rPr>
        <w:i/>
      </w:rPr>
      <w:t>Drug Delivery to the Lungs (DDL201</w:t>
    </w:r>
    <w:r w:rsidR="0004652F">
      <w:rPr>
        <w:i/>
      </w:rPr>
      <w:t>9</w:t>
    </w:r>
    <w:r>
      <w:rPr>
        <w:i/>
      </w:rPr>
      <w:t>)</w:t>
    </w:r>
    <w:r w:rsidR="00964A86" w:rsidRPr="00964A86">
      <w:rPr>
        <w:i/>
      </w:rPr>
      <w:t>, 201</w:t>
    </w:r>
    <w:r w:rsidR="0004652F">
      <w:rPr>
        <w:i/>
      </w:rPr>
      <w:t>9</w:t>
    </w:r>
    <w:r w:rsidR="00964A86" w:rsidRPr="00964A86">
      <w:rPr>
        <w:i/>
      </w:rPr>
      <w:t xml:space="preserve"> - </w:t>
    </w:r>
    <w:r w:rsidR="00990C1E">
      <w:fldChar w:fldCharType="begin"/>
    </w:r>
    <w:r w:rsidR="00990C1E">
      <w:instrText xml:space="preserve"> REF Author \h  \* MERGEFORMAT </w:instrText>
    </w:r>
    <w:r w:rsidR="00990C1E">
      <w:fldChar w:fldCharType="separate"/>
    </w:r>
    <w:sdt>
      <w:sdtPr>
        <w:rPr>
          <w:i/>
        </w:rPr>
        <w:alias w:val="Main Author"/>
        <w:tag w:val="Main Author"/>
        <w:id w:val="-1041593484"/>
        <w:lock w:val="sdtLocked"/>
        <w:placeholder>
          <w:docPart w:val="8767CCE5C7C749C29833C80B52C2E589"/>
        </w:placeholder>
      </w:sdtPr>
      <w:sdtEndPr>
        <w:rPr>
          <w:rStyle w:val="PlaceholderText"/>
          <w:i w:val="0"/>
          <w:color w:val="808080"/>
        </w:rPr>
      </w:sdtEndPr>
      <w:sdtContent>
        <w:sdt>
          <w:sdtPr>
            <w:rPr>
              <w:color w:val="808080"/>
              <w:u w:val="single"/>
            </w:rPr>
            <w:alias w:val="Main Author"/>
            <w:tag w:val="Main Author"/>
            <w:id w:val="-724605775"/>
            <w:placeholder>
              <w:docPart w:val="1F7E6F52546A7B45862EE9CA735EE1FB"/>
            </w:placeholder>
          </w:sdtPr>
          <w:sdtEndPr/>
          <w:sdtContent>
            <w:r w:rsidR="002D20A5" w:rsidRPr="0000595D">
              <w:rPr>
                <w:u w:val="single"/>
              </w:rPr>
              <w:t>Gonçalo Farias</w:t>
            </w:r>
          </w:sdtContent>
        </w:sdt>
      </w:sdtContent>
    </w:sdt>
    <w:r w:rsidR="00990C1E">
      <w:fldChar w:fldCharType="end"/>
    </w:r>
    <w:r w:rsidR="00964A86" w:rsidRPr="00964A86">
      <w:rPr>
        <w:i/>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7D5"/>
    <w:rsid w:val="0000595D"/>
    <w:rsid w:val="0000715D"/>
    <w:rsid w:val="0001616D"/>
    <w:rsid w:val="00016641"/>
    <w:rsid w:val="00032260"/>
    <w:rsid w:val="00034D54"/>
    <w:rsid w:val="00042D62"/>
    <w:rsid w:val="0004652F"/>
    <w:rsid w:val="00054372"/>
    <w:rsid w:val="0006467A"/>
    <w:rsid w:val="000736F6"/>
    <w:rsid w:val="000743CD"/>
    <w:rsid w:val="000A2590"/>
    <w:rsid w:val="000E77D5"/>
    <w:rsid w:val="001256D7"/>
    <w:rsid w:val="00134FB6"/>
    <w:rsid w:val="001516A0"/>
    <w:rsid w:val="00160344"/>
    <w:rsid w:val="001604DB"/>
    <w:rsid w:val="00172952"/>
    <w:rsid w:val="001942DB"/>
    <w:rsid w:val="001A73C2"/>
    <w:rsid w:val="001B0E1B"/>
    <w:rsid w:val="001B71B7"/>
    <w:rsid w:val="001C1A34"/>
    <w:rsid w:val="001D4067"/>
    <w:rsid w:val="001D67B0"/>
    <w:rsid w:val="001F70F6"/>
    <w:rsid w:val="001F79B3"/>
    <w:rsid w:val="00217845"/>
    <w:rsid w:val="00231C18"/>
    <w:rsid w:val="00233697"/>
    <w:rsid w:val="002666D8"/>
    <w:rsid w:val="00283625"/>
    <w:rsid w:val="00283F05"/>
    <w:rsid w:val="00286BE0"/>
    <w:rsid w:val="00287EA3"/>
    <w:rsid w:val="0029067A"/>
    <w:rsid w:val="002A75C3"/>
    <w:rsid w:val="002B74ED"/>
    <w:rsid w:val="002D20A5"/>
    <w:rsid w:val="002E77AE"/>
    <w:rsid w:val="002F38E3"/>
    <w:rsid w:val="00311E4A"/>
    <w:rsid w:val="0031528C"/>
    <w:rsid w:val="00323FE7"/>
    <w:rsid w:val="003271BC"/>
    <w:rsid w:val="0033185B"/>
    <w:rsid w:val="0034725F"/>
    <w:rsid w:val="00387ECA"/>
    <w:rsid w:val="0039248E"/>
    <w:rsid w:val="003B383B"/>
    <w:rsid w:val="003B65D1"/>
    <w:rsid w:val="003C05BA"/>
    <w:rsid w:val="003C568E"/>
    <w:rsid w:val="003C6A3B"/>
    <w:rsid w:val="003D10FC"/>
    <w:rsid w:val="003D3DDE"/>
    <w:rsid w:val="003D7C47"/>
    <w:rsid w:val="003E5D10"/>
    <w:rsid w:val="003E71AC"/>
    <w:rsid w:val="003F167A"/>
    <w:rsid w:val="003F37A9"/>
    <w:rsid w:val="00404A4E"/>
    <w:rsid w:val="00416B9A"/>
    <w:rsid w:val="00424C98"/>
    <w:rsid w:val="00427F09"/>
    <w:rsid w:val="00442036"/>
    <w:rsid w:val="00444A63"/>
    <w:rsid w:val="00447700"/>
    <w:rsid w:val="00451AF9"/>
    <w:rsid w:val="00490C5A"/>
    <w:rsid w:val="00491A56"/>
    <w:rsid w:val="00496006"/>
    <w:rsid w:val="004A684A"/>
    <w:rsid w:val="004B2051"/>
    <w:rsid w:val="004B6D88"/>
    <w:rsid w:val="004B77BD"/>
    <w:rsid w:val="004C1847"/>
    <w:rsid w:val="004D2102"/>
    <w:rsid w:val="004E740E"/>
    <w:rsid w:val="004F7F64"/>
    <w:rsid w:val="005302DC"/>
    <w:rsid w:val="005303CA"/>
    <w:rsid w:val="00533BC1"/>
    <w:rsid w:val="005357DB"/>
    <w:rsid w:val="00541F41"/>
    <w:rsid w:val="00544598"/>
    <w:rsid w:val="00544864"/>
    <w:rsid w:val="00544FB7"/>
    <w:rsid w:val="00565B2F"/>
    <w:rsid w:val="00565D5A"/>
    <w:rsid w:val="00593A46"/>
    <w:rsid w:val="00596663"/>
    <w:rsid w:val="005A52F9"/>
    <w:rsid w:val="005B5FD9"/>
    <w:rsid w:val="005C38AC"/>
    <w:rsid w:val="005C5F35"/>
    <w:rsid w:val="005C7D41"/>
    <w:rsid w:val="005D441D"/>
    <w:rsid w:val="005D6A45"/>
    <w:rsid w:val="005F4472"/>
    <w:rsid w:val="006047B7"/>
    <w:rsid w:val="00613573"/>
    <w:rsid w:val="006220F6"/>
    <w:rsid w:val="00623609"/>
    <w:rsid w:val="00623DF2"/>
    <w:rsid w:val="00631B86"/>
    <w:rsid w:val="00642787"/>
    <w:rsid w:val="00671088"/>
    <w:rsid w:val="00676DA7"/>
    <w:rsid w:val="00677708"/>
    <w:rsid w:val="00686D0B"/>
    <w:rsid w:val="00697AE7"/>
    <w:rsid w:val="006A7D26"/>
    <w:rsid w:val="006B12B5"/>
    <w:rsid w:val="006B3D22"/>
    <w:rsid w:val="006B532D"/>
    <w:rsid w:val="006D599D"/>
    <w:rsid w:val="006E1C6F"/>
    <w:rsid w:val="006F0288"/>
    <w:rsid w:val="0070763C"/>
    <w:rsid w:val="00711C1F"/>
    <w:rsid w:val="00715F4B"/>
    <w:rsid w:val="007171C8"/>
    <w:rsid w:val="0072218B"/>
    <w:rsid w:val="00737EF3"/>
    <w:rsid w:val="007503D0"/>
    <w:rsid w:val="00781E78"/>
    <w:rsid w:val="0078212D"/>
    <w:rsid w:val="00784010"/>
    <w:rsid w:val="00787F68"/>
    <w:rsid w:val="007B2BEC"/>
    <w:rsid w:val="007D307A"/>
    <w:rsid w:val="007E2F09"/>
    <w:rsid w:val="007F0CDB"/>
    <w:rsid w:val="00804EEB"/>
    <w:rsid w:val="008050EA"/>
    <w:rsid w:val="00821655"/>
    <w:rsid w:val="00837ED2"/>
    <w:rsid w:val="008443EE"/>
    <w:rsid w:val="0084598F"/>
    <w:rsid w:val="00852676"/>
    <w:rsid w:val="00860916"/>
    <w:rsid w:val="00870B52"/>
    <w:rsid w:val="00881895"/>
    <w:rsid w:val="00891D40"/>
    <w:rsid w:val="008B02F1"/>
    <w:rsid w:val="008B4BF0"/>
    <w:rsid w:val="008C7F2D"/>
    <w:rsid w:val="008D115B"/>
    <w:rsid w:val="008D4D8B"/>
    <w:rsid w:val="008D7F19"/>
    <w:rsid w:val="008F17BD"/>
    <w:rsid w:val="008F2A41"/>
    <w:rsid w:val="009078D4"/>
    <w:rsid w:val="00926135"/>
    <w:rsid w:val="00930DA1"/>
    <w:rsid w:val="0093458B"/>
    <w:rsid w:val="00941946"/>
    <w:rsid w:val="0095324F"/>
    <w:rsid w:val="00964A86"/>
    <w:rsid w:val="00966CD3"/>
    <w:rsid w:val="00974E37"/>
    <w:rsid w:val="009818AC"/>
    <w:rsid w:val="00990C1E"/>
    <w:rsid w:val="00996628"/>
    <w:rsid w:val="009A0009"/>
    <w:rsid w:val="009A1638"/>
    <w:rsid w:val="009A4453"/>
    <w:rsid w:val="009A52B9"/>
    <w:rsid w:val="009A5E01"/>
    <w:rsid w:val="009B2FE9"/>
    <w:rsid w:val="009C3084"/>
    <w:rsid w:val="009C6C08"/>
    <w:rsid w:val="009D1A31"/>
    <w:rsid w:val="009D1CB7"/>
    <w:rsid w:val="009D5953"/>
    <w:rsid w:val="009D77B3"/>
    <w:rsid w:val="009E7542"/>
    <w:rsid w:val="009F3972"/>
    <w:rsid w:val="009F3EBC"/>
    <w:rsid w:val="00A0358B"/>
    <w:rsid w:val="00A06312"/>
    <w:rsid w:val="00A13504"/>
    <w:rsid w:val="00A14F14"/>
    <w:rsid w:val="00A515A9"/>
    <w:rsid w:val="00A605B3"/>
    <w:rsid w:val="00A67298"/>
    <w:rsid w:val="00A67F53"/>
    <w:rsid w:val="00A8203B"/>
    <w:rsid w:val="00A94905"/>
    <w:rsid w:val="00A96FE3"/>
    <w:rsid w:val="00AA1175"/>
    <w:rsid w:val="00AA74BE"/>
    <w:rsid w:val="00AB439D"/>
    <w:rsid w:val="00AC04A2"/>
    <w:rsid w:val="00AC09D4"/>
    <w:rsid w:val="00AD115D"/>
    <w:rsid w:val="00AF276D"/>
    <w:rsid w:val="00B00481"/>
    <w:rsid w:val="00B122AD"/>
    <w:rsid w:val="00B25B95"/>
    <w:rsid w:val="00B36097"/>
    <w:rsid w:val="00B42A7F"/>
    <w:rsid w:val="00B5120E"/>
    <w:rsid w:val="00B54843"/>
    <w:rsid w:val="00B55646"/>
    <w:rsid w:val="00B71695"/>
    <w:rsid w:val="00B719D1"/>
    <w:rsid w:val="00B804AB"/>
    <w:rsid w:val="00B906A5"/>
    <w:rsid w:val="00B94313"/>
    <w:rsid w:val="00BC0021"/>
    <w:rsid w:val="00BC30C2"/>
    <w:rsid w:val="00BC3B49"/>
    <w:rsid w:val="00BD68AD"/>
    <w:rsid w:val="00BD70D3"/>
    <w:rsid w:val="00C0283C"/>
    <w:rsid w:val="00C126B9"/>
    <w:rsid w:val="00C543B6"/>
    <w:rsid w:val="00C64444"/>
    <w:rsid w:val="00C65A37"/>
    <w:rsid w:val="00C6681A"/>
    <w:rsid w:val="00C85006"/>
    <w:rsid w:val="00CA68D8"/>
    <w:rsid w:val="00CA78CE"/>
    <w:rsid w:val="00CC6C91"/>
    <w:rsid w:val="00CE39C8"/>
    <w:rsid w:val="00CF24A7"/>
    <w:rsid w:val="00CF7D1B"/>
    <w:rsid w:val="00D075F7"/>
    <w:rsid w:val="00D12A8D"/>
    <w:rsid w:val="00D12F7B"/>
    <w:rsid w:val="00D152BD"/>
    <w:rsid w:val="00D156FE"/>
    <w:rsid w:val="00D23C41"/>
    <w:rsid w:val="00D41A7C"/>
    <w:rsid w:val="00D47884"/>
    <w:rsid w:val="00D54376"/>
    <w:rsid w:val="00D566D3"/>
    <w:rsid w:val="00D67A60"/>
    <w:rsid w:val="00D85CE6"/>
    <w:rsid w:val="00D93537"/>
    <w:rsid w:val="00D9655E"/>
    <w:rsid w:val="00DD4A2D"/>
    <w:rsid w:val="00DD5EB8"/>
    <w:rsid w:val="00DE0039"/>
    <w:rsid w:val="00DE0399"/>
    <w:rsid w:val="00DE0973"/>
    <w:rsid w:val="00DE1286"/>
    <w:rsid w:val="00DE6AE7"/>
    <w:rsid w:val="00DF0663"/>
    <w:rsid w:val="00DF392A"/>
    <w:rsid w:val="00E00624"/>
    <w:rsid w:val="00E108CE"/>
    <w:rsid w:val="00E357B9"/>
    <w:rsid w:val="00E42945"/>
    <w:rsid w:val="00E51903"/>
    <w:rsid w:val="00E62590"/>
    <w:rsid w:val="00E8098B"/>
    <w:rsid w:val="00E92FCA"/>
    <w:rsid w:val="00E9667D"/>
    <w:rsid w:val="00EA530D"/>
    <w:rsid w:val="00EB7394"/>
    <w:rsid w:val="00EE7503"/>
    <w:rsid w:val="00F15D45"/>
    <w:rsid w:val="00F20F19"/>
    <w:rsid w:val="00F2495D"/>
    <w:rsid w:val="00F3080A"/>
    <w:rsid w:val="00F339D1"/>
    <w:rsid w:val="00F435EA"/>
    <w:rsid w:val="00F6432D"/>
    <w:rsid w:val="00F851D7"/>
    <w:rsid w:val="00FA6F23"/>
    <w:rsid w:val="00FC33BA"/>
    <w:rsid w:val="00FC62DB"/>
    <w:rsid w:val="00FD125D"/>
    <w:rsid w:val="00FD42BB"/>
    <w:rsid w:val="00FE2845"/>
    <w:rsid w:val="00FE2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9303A3"/>
  <w15:docId w15:val="{0A550A63-CDE0-4107-B663-B9C22BD2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semiHidden/>
    <w:unhideWhenUsed/>
    <w:rsid w:val="0095324F"/>
    <w:rPr>
      <w:sz w:val="20"/>
    </w:rPr>
  </w:style>
  <w:style w:type="character" w:customStyle="1" w:styleId="CommentTextChar">
    <w:name w:val="Comment Text Char"/>
    <w:link w:val="CommentText"/>
    <w:uiPriority w:val="99"/>
    <w:semiHidden/>
    <w:rsid w:val="0095324F"/>
    <w:rPr>
      <w:rFonts w:ascii="Arial" w:hAnsi="Arial"/>
    </w:rPr>
  </w:style>
  <w:style w:type="paragraph" w:styleId="CommentSubject">
    <w:name w:val="annotation subject"/>
    <w:basedOn w:val="CommentText"/>
    <w:next w:val="CommentText"/>
    <w:link w:val="CommentSubjectChar"/>
    <w:unhideWhenUsed/>
    <w:rsid w:val="0095324F"/>
    <w:rPr>
      <w:b/>
      <w:bCs/>
    </w:rPr>
  </w:style>
  <w:style w:type="character" w:customStyle="1" w:styleId="CommentSubjectChar">
    <w:name w:val="Comment Subject Char"/>
    <w:link w:val="CommentSubject"/>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semiHidden/>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paragraph" w:customStyle="1" w:styleId="FormFieldCaption">
    <w:name w:val="Form Field Caption"/>
    <w:rsid w:val="00034D54"/>
    <w:pPr>
      <w:tabs>
        <w:tab w:val="left" w:pos="270"/>
      </w:tabs>
    </w:pPr>
    <w:rPr>
      <w:rFonts w:ascii="Arial" w:eastAsia="ヒラギノ角ゴ Pro W3" w:hAnsi="Arial"/>
      <w:color w:val="000000"/>
      <w:sz w:val="16"/>
      <w:lang w:val="en-US" w:eastAsia="en-US"/>
    </w:rPr>
  </w:style>
  <w:style w:type="paragraph" w:customStyle="1" w:styleId="FrontSub-heading">
    <w:name w:val="Front Sub-heading"/>
    <w:basedOn w:val="Normal"/>
    <w:rsid w:val="00034D54"/>
    <w:pPr>
      <w:spacing w:after="0"/>
      <w:jc w:val="left"/>
    </w:pPr>
    <w:rPr>
      <w:rFonts w:ascii="Calibri" w:hAnsi="Calibri"/>
      <w:b/>
      <w:noProof/>
      <w:lang w:eastAsia="en-US"/>
    </w:rPr>
  </w:style>
  <w:style w:type="table" w:customStyle="1" w:styleId="TableGridLight1">
    <w:name w:val="Table Grid Light1"/>
    <w:basedOn w:val="TableNormal"/>
    <w:uiPriority w:val="40"/>
    <w:rsid w:val="00D12A8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7">
    <w:name w:val="toc 7"/>
    <w:basedOn w:val="Normal"/>
    <w:next w:val="Normal"/>
    <w:autoRedefine/>
    <w:uiPriority w:val="39"/>
    <w:semiHidden/>
    <w:unhideWhenUsed/>
    <w:rsid w:val="005D6A45"/>
    <w:pPr>
      <w:spacing w:after="100"/>
      <w:ind w:left="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603390483">
      <w:bodyDiv w:val="1"/>
      <w:marLeft w:val="0"/>
      <w:marRight w:val="0"/>
      <w:marTop w:val="0"/>
      <w:marBottom w:val="0"/>
      <w:divBdr>
        <w:top w:val="none" w:sz="0" w:space="0" w:color="auto"/>
        <w:left w:val="none" w:sz="0" w:space="0" w:color="auto"/>
        <w:bottom w:val="none" w:sz="0" w:space="0" w:color="auto"/>
        <w:right w:val="none" w:sz="0" w:space="0" w:color="auto"/>
      </w:divBdr>
    </w:div>
    <w:div w:id="704871997">
      <w:bodyDiv w:val="1"/>
      <w:marLeft w:val="0"/>
      <w:marRight w:val="0"/>
      <w:marTop w:val="0"/>
      <w:marBottom w:val="0"/>
      <w:divBdr>
        <w:top w:val="none" w:sz="0" w:space="0" w:color="auto"/>
        <w:left w:val="none" w:sz="0" w:space="0" w:color="auto"/>
        <w:bottom w:val="none" w:sz="0" w:space="0" w:color="auto"/>
        <w:right w:val="none" w:sz="0" w:space="0" w:color="auto"/>
      </w:divBdr>
    </w:div>
    <w:div w:id="1016926836">
      <w:bodyDiv w:val="1"/>
      <w:marLeft w:val="0"/>
      <w:marRight w:val="0"/>
      <w:marTop w:val="0"/>
      <w:marBottom w:val="0"/>
      <w:divBdr>
        <w:top w:val="none" w:sz="0" w:space="0" w:color="auto"/>
        <w:left w:val="none" w:sz="0" w:space="0" w:color="auto"/>
        <w:bottom w:val="none" w:sz="0" w:space="0" w:color="auto"/>
        <w:right w:val="none" w:sz="0" w:space="0" w:color="auto"/>
      </w:divBdr>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 w:id="2083137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8767CCE5C7C749C29833C80B52C2E589"/>
        <w:category>
          <w:name w:val="General"/>
          <w:gallery w:val="placeholder"/>
        </w:category>
        <w:types>
          <w:type w:val="bbPlcHdr"/>
        </w:types>
        <w:behaviors>
          <w:behavior w:val="content"/>
        </w:behaviors>
        <w:guid w:val="{4FC66B6F-D2F5-4631-A24F-ED1C9CE7FD41}"/>
      </w:docPartPr>
      <w:docPartBody>
        <w:p w:rsidR="004A5D97" w:rsidRDefault="00623571" w:rsidP="00623571">
          <w:pPr>
            <w:pStyle w:val="8767CCE5C7C749C29833C80B52C2E5891"/>
          </w:pPr>
          <w:r w:rsidRPr="00964A86">
            <w:rPr>
              <w:rStyle w:val="PlaceholderText"/>
              <w:i/>
              <w:color w:val="auto"/>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1F7E6F52546A7B45862EE9CA735EE1FB"/>
        <w:category>
          <w:name w:val="General"/>
          <w:gallery w:val="placeholder"/>
        </w:category>
        <w:types>
          <w:type w:val="bbPlcHdr"/>
        </w:types>
        <w:behaviors>
          <w:behavior w:val="content"/>
        </w:behaviors>
        <w:guid w:val="{03187C4A-8CFB-C746-A12B-C483F6374840}"/>
      </w:docPartPr>
      <w:docPartBody>
        <w:p w:rsidR="006C4247" w:rsidRDefault="00D63B2A" w:rsidP="00D63B2A">
          <w:pPr>
            <w:pStyle w:val="1F7E6F52546A7B45862EE9CA735EE1FB"/>
          </w:pPr>
          <w:r w:rsidRPr="00160344">
            <w:rPr>
              <w:rStyle w:val="PlaceholderText"/>
              <w:color w:val="auto"/>
              <w:u w:val="single"/>
            </w:rPr>
            <w:t>Main Author</w:t>
          </w:r>
        </w:p>
      </w:docPartBody>
    </w:docPart>
    <w:docPart>
      <w:docPartPr>
        <w:name w:val="428BF80923C63746A79A359B2838A902"/>
        <w:category>
          <w:name w:val="General"/>
          <w:gallery w:val="placeholder"/>
        </w:category>
        <w:types>
          <w:type w:val="bbPlcHdr"/>
        </w:types>
        <w:behaviors>
          <w:behavior w:val="content"/>
        </w:behaviors>
        <w:guid w:val="{5FA99FE4-8520-B64F-9881-D4BCD4409D16}"/>
      </w:docPartPr>
      <w:docPartBody>
        <w:p w:rsidR="006C4247" w:rsidRDefault="00D63B2A" w:rsidP="00D63B2A">
          <w:pPr>
            <w:pStyle w:val="428BF80923C63746A79A359B2838A902"/>
          </w:pPr>
          <w:r w:rsidRPr="00160344">
            <w:rPr>
              <w:rStyle w:val="PlaceholderText"/>
              <w:color w:val="auto"/>
            </w:rPr>
            <w:t>Title of Your Paper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swiss"/>
    <w:pitch w:val="variable"/>
    <w:sig w:usb0="E00002FF" w:usb1="7AC7FFFF" w:usb2="00000012" w:usb3="00000000" w:csb0="0002000D"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74500"/>
    <w:rsid w:val="00134A2D"/>
    <w:rsid w:val="001C2B4D"/>
    <w:rsid w:val="00263F66"/>
    <w:rsid w:val="003008B3"/>
    <w:rsid w:val="003009AF"/>
    <w:rsid w:val="004A5D97"/>
    <w:rsid w:val="005025F8"/>
    <w:rsid w:val="0053291A"/>
    <w:rsid w:val="005F717A"/>
    <w:rsid w:val="00623571"/>
    <w:rsid w:val="006C4247"/>
    <w:rsid w:val="00731DA7"/>
    <w:rsid w:val="0085261A"/>
    <w:rsid w:val="008E0A03"/>
    <w:rsid w:val="00AB2E98"/>
    <w:rsid w:val="00B01474"/>
    <w:rsid w:val="00B026E4"/>
    <w:rsid w:val="00B80F07"/>
    <w:rsid w:val="00BF0319"/>
    <w:rsid w:val="00C01A1B"/>
    <w:rsid w:val="00CF1D98"/>
    <w:rsid w:val="00D63B2A"/>
    <w:rsid w:val="00DB04D1"/>
    <w:rsid w:val="00E60D05"/>
    <w:rsid w:val="00FB16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08B3"/>
    <w:rPr>
      <w:color w:val="808080"/>
    </w:rPr>
  </w:style>
  <w:style w:type="paragraph" w:customStyle="1" w:styleId="F93874C70D8C44D6B0BA71800E08656C">
    <w:name w:val="F93874C70D8C44D6B0BA71800E08656C"/>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F93874C70D8C44D6B0BA71800E08656C1">
    <w:name w:val="F93874C70D8C44D6B0BA71800E08656C1"/>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
    <w:name w:val="38BA82FFF2774C26AC6862CFB8BB55DB"/>
    <w:rsid w:val="00623571"/>
    <w:pPr>
      <w:spacing w:after="180" w:line="240" w:lineRule="auto"/>
      <w:jc w:val="center"/>
      <w:outlineLvl w:val="1"/>
    </w:pPr>
    <w:rPr>
      <w:rFonts w:ascii="Arial" w:eastAsia="Times New Roman" w:hAnsi="Arial" w:cs="Times New Roman"/>
      <w:b/>
      <w:sz w:val="18"/>
      <w:szCs w:val="24"/>
    </w:rPr>
  </w:style>
  <w:style w:type="paragraph" w:customStyle="1" w:styleId="F93874C70D8C44D6B0BA71800E08656C2">
    <w:name w:val="F93874C70D8C44D6B0BA71800E08656C2"/>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1">
    <w:name w:val="38BA82FFF2774C26AC6862CFB8BB55DB1"/>
    <w:rsid w:val="00623571"/>
    <w:pPr>
      <w:spacing w:after="180" w:line="240" w:lineRule="auto"/>
      <w:jc w:val="center"/>
      <w:outlineLvl w:val="1"/>
    </w:pPr>
    <w:rPr>
      <w:rFonts w:ascii="Arial" w:eastAsia="Times New Roman" w:hAnsi="Arial" w:cs="Times New Roman"/>
      <w:b/>
      <w:sz w:val="18"/>
      <w:szCs w:val="24"/>
    </w:rPr>
  </w:style>
  <w:style w:type="paragraph" w:customStyle="1" w:styleId="F93874C70D8C44D6B0BA71800E08656C3">
    <w:name w:val="F93874C70D8C44D6B0BA71800E08656C3"/>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2">
    <w:name w:val="38BA82FFF2774C26AC6862CFB8BB55DB2"/>
    <w:rsid w:val="00623571"/>
    <w:pPr>
      <w:spacing w:after="180" w:line="240" w:lineRule="auto"/>
      <w:jc w:val="center"/>
      <w:outlineLvl w:val="1"/>
    </w:pPr>
    <w:rPr>
      <w:rFonts w:ascii="Arial" w:eastAsia="Times New Roman" w:hAnsi="Arial" w:cs="Times New Roman"/>
      <w:b/>
      <w:sz w:val="18"/>
      <w:szCs w:val="24"/>
    </w:rPr>
  </w:style>
  <w:style w:type="paragraph" w:customStyle="1" w:styleId="8767CCE5C7C749C29833C80B52C2E589">
    <w:name w:val="8767CCE5C7C749C29833C80B52C2E589"/>
    <w:rsid w:val="00623571"/>
  </w:style>
  <w:style w:type="paragraph" w:customStyle="1" w:styleId="5E92E7D27CD74AB6A7659171C72AC2AF">
    <w:name w:val="5E92E7D27CD74AB6A7659171C72AC2AF"/>
    <w:rsid w:val="00623571"/>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5E92E7D27CD74AB6A7659171C72AC2AF1">
    <w:name w:val="5E92E7D27CD74AB6A7659171C72AC2AF1"/>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8767CCE5C7C749C29833C80B52C2E5891">
    <w:name w:val="8767CCE5C7C749C29833C80B52C2E5891"/>
    <w:rsid w:val="00623571"/>
    <w:pPr>
      <w:tabs>
        <w:tab w:val="center" w:pos="4513"/>
        <w:tab w:val="right" w:pos="9026"/>
      </w:tabs>
      <w:spacing w:after="180" w:line="240" w:lineRule="auto"/>
      <w:jc w:val="both"/>
    </w:pPr>
    <w:rPr>
      <w:rFonts w:ascii="Arial" w:eastAsia="Times New Roman" w:hAnsi="Arial" w:cs="Times New Roman"/>
      <w:sz w:val="18"/>
      <w:szCs w:val="20"/>
    </w:rPr>
  </w:style>
  <w:style w:type="paragraph" w:customStyle="1" w:styleId="E0916833A0FC4C2E9BC2E83FE156B712">
    <w:name w:val="E0916833A0FC4C2E9BC2E83FE156B712"/>
    <w:rsid w:val="00623571"/>
  </w:style>
  <w:style w:type="paragraph" w:customStyle="1" w:styleId="B046F90048CB4F0380F99889E7477724">
    <w:name w:val="B046F90048CB4F0380F99889E7477724"/>
    <w:rsid w:val="00623571"/>
  </w:style>
  <w:style w:type="paragraph" w:customStyle="1" w:styleId="C70660930130498FA323F3FBE369D82B">
    <w:name w:val="C70660930130498FA323F3FBE369D82B"/>
    <w:rsid w:val="00623571"/>
  </w:style>
  <w:style w:type="paragraph" w:customStyle="1" w:styleId="A295AAC96E4241A4AC1C84E5740C8336">
    <w:name w:val="A295AAC96E4241A4AC1C84E5740C8336"/>
    <w:rsid w:val="00623571"/>
  </w:style>
  <w:style w:type="paragraph" w:customStyle="1" w:styleId="1F7E6F52546A7B45862EE9CA735EE1FB">
    <w:name w:val="1F7E6F52546A7B45862EE9CA735EE1FB"/>
    <w:rsid w:val="00D63B2A"/>
    <w:pPr>
      <w:spacing w:after="0" w:line="240" w:lineRule="auto"/>
    </w:pPr>
    <w:rPr>
      <w:sz w:val="24"/>
      <w:szCs w:val="24"/>
    </w:rPr>
  </w:style>
  <w:style w:type="paragraph" w:customStyle="1" w:styleId="428BF80923C63746A79A359B2838A902">
    <w:name w:val="428BF80923C63746A79A359B2838A902"/>
    <w:rsid w:val="00D63B2A"/>
    <w:pPr>
      <w:spacing w:after="0" w:line="240" w:lineRule="auto"/>
    </w:pPr>
    <w:rPr>
      <w:sz w:val="24"/>
      <w:szCs w:val="24"/>
    </w:rPr>
  </w:style>
  <w:style w:type="paragraph" w:customStyle="1" w:styleId="D7EB7ABA54124045AC19E396BCFD17AD">
    <w:name w:val="D7EB7ABA54124045AC19E396BCFD17AD"/>
    <w:rsid w:val="00300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A8E50-E1A8-4B07-838F-AE8F6BCB3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1897</Words>
  <Characters>10818</Characters>
  <Application>Microsoft Office Word</Application>
  <DocSecurity>0</DocSecurity>
  <Lines>90</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Gonçalo Farias</cp:lastModifiedBy>
  <cp:revision>16</cp:revision>
  <cp:lastPrinted>2015-06-18T14:58:00Z</cp:lastPrinted>
  <dcterms:created xsi:type="dcterms:W3CDTF">2019-09-15T11:02:00Z</dcterms:created>
  <dcterms:modified xsi:type="dcterms:W3CDTF">2019-09-16T18:48:00Z</dcterms:modified>
</cp:coreProperties>
</file>