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Title"/>
    <w:p w14:paraId="30D45207" w14:textId="77777777" w:rsidR="000E77D5" w:rsidRPr="00160344" w:rsidRDefault="00D01092" w:rsidP="00AD115D">
      <w:pPr>
        <w:pStyle w:val="DDLTitle"/>
      </w:pPr>
      <w:sdt>
        <w:sdtPr>
          <w:alias w:val="Title"/>
          <w:tag w:val="Title"/>
          <w:id w:val="-912845432"/>
          <w:lock w:val="sdtLocked"/>
          <w:placeholder>
            <w:docPart w:val="F93874C70D8C44D6B0BA71800E08656C"/>
          </w:placeholder>
        </w:sdtPr>
        <w:sdtEndPr/>
        <w:sdtContent>
          <w:r w:rsidR="003E4477" w:rsidRPr="00817865">
            <w:rPr>
              <w:rFonts w:cs="Arial"/>
            </w:rPr>
            <w:t xml:space="preserve">Investigating the microstructure of dry powder inhalers using orthogonal analytical approaches </w:t>
          </w:r>
          <w:r w:rsidR="003E4477">
            <w:rPr>
              <w:rFonts w:cs="Arial"/>
            </w:rPr>
            <w:t xml:space="preserve"> </w:t>
          </w:r>
        </w:sdtContent>
      </w:sdt>
      <w:bookmarkEnd w:id="0"/>
      <w:r w:rsidR="00881895">
        <w:t xml:space="preserve"> </w:t>
      </w:r>
    </w:p>
    <w:bookmarkStart w:id="1" w:name="Author"/>
    <w:p w14:paraId="5C5B9478" w14:textId="59A1B49E" w:rsidR="00C65A37" w:rsidRPr="00AD115D" w:rsidRDefault="00D01092" w:rsidP="00AD115D">
      <w:pPr>
        <w:pStyle w:val="DDLSubtitle"/>
      </w:pPr>
      <w:sdt>
        <w:sdtPr>
          <w:rPr>
            <w:u w:val="single"/>
          </w:rPr>
          <w:alias w:val="Main Author"/>
          <w:tag w:val="Main Author"/>
          <w:id w:val="854543900"/>
          <w:lock w:val="sdtLocked"/>
          <w:placeholder>
            <w:docPart w:val="38BA82FFF2774C26AC6862CFB8BB55DB"/>
          </w:placeholder>
        </w:sdtPr>
        <w:sdtEndPr/>
        <w:sdtContent>
          <w:proofErr w:type="spellStart"/>
          <w:r w:rsidR="003E4477">
            <w:rPr>
              <w:u w:val="single"/>
            </w:rPr>
            <w:t>Gonçalo</w:t>
          </w:r>
          <w:proofErr w:type="spellEnd"/>
          <w:r w:rsidR="003E4477">
            <w:rPr>
              <w:u w:val="single"/>
            </w:rPr>
            <w:t xml:space="preserve"> Farias</w:t>
          </w:r>
        </w:sdtContent>
      </w:sdt>
      <w:bookmarkEnd w:id="1"/>
      <w:r w:rsidR="00676DA7" w:rsidRPr="00AD115D">
        <w:rPr>
          <w:vertAlign w:val="superscript"/>
        </w:rPr>
        <w:t>1</w:t>
      </w:r>
      <w:r w:rsidR="00676DA7" w:rsidRPr="00AD115D">
        <w:t xml:space="preserve">, </w:t>
      </w:r>
      <w:r w:rsidR="00CF3462">
        <w:t>William Ganle</w:t>
      </w:r>
      <w:r w:rsidR="003E4477">
        <w:t>y</w:t>
      </w:r>
      <w:r w:rsidR="003E4477">
        <w:rPr>
          <w:vertAlign w:val="superscript"/>
        </w:rPr>
        <w:t>1</w:t>
      </w:r>
      <w:r w:rsidR="003E4477">
        <w:t xml:space="preserve">, </w:t>
      </w:r>
      <w:bookmarkStart w:id="2" w:name="_GoBack"/>
      <w:r w:rsidR="003E4477">
        <w:t>Debbie Huck-Jones</w:t>
      </w:r>
      <w:bookmarkEnd w:id="2"/>
      <w:r w:rsidR="003E4477">
        <w:rPr>
          <w:vertAlign w:val="superscript"/>
        </w:rPr>
        <w:t>2</w:t>
      </w:r>
      <w:r w:rsidR="003E4477">
        <w:t>, Paul Kippax</w:t>
      </w:r>
      <w:r w:rsidR="003E4477">
        <w:rPr>
          <w:vertAlign w:val="superscript"/>
        </w:rPr>
        <w:t>2</w:t>
      </w:r>
      <w:r w:rsidR="003E4477">
        <w:t xml:space="preserve">, </w:t>
      </w:r>
      <w:proofErr w:type="spellStart"/>
      <w:r w:rsidR="003E4477">
        <w:t>Jagdeep</w:t>
      </w:r>
      <w:proofErr w:type="spellEnd"/>
      <w:r w:rsidR="003E4477">
        <w:t xml:space="preserve"> Shur</w:t>
      </w:r>
      <w:r w:rsidR="003E4477">
        <w:rPr>
          <w:vertAlign w:val="superscript"/>
        </w:rPr>
        <w:t>1</w:t>
      </w:r>
      <w:r w:rsidR="00C65A37" w:rsidRPr="00AD115D">
        <w:t xml:space="preserve"> &amp; </w:t>
      </w:r>
      <w:r w:rsidR="003E4477">
        <w:t>Robert Price</w:t>
      </w:r>
      <w:r w:rsidR="003E4477">
        <w:rPr>
          <w:vertAlign w:val="superscript"/>
        </w:rPr>
        <w:t>1</w:t>
      </w:r>
    </w:p>
    <w:p w14:paraId="405BB173" w14:textId="77777777" w:rsidR="003E4477" w:rsidRDefault="003E4477" w:rsidP="003E4477">
      <w:pPr>
        <w:spacing w:after="0"/>
        <w:jc w:val="center"/>
        <w:rPr>
          <w:color w:val="000000"/>
        </w:rPr>
      </w:pPr>
      <w:r>
        <w:rPr>
          <w:color w:val="000000"/>
          <w:vertAlign w:val="superscript"/>
        </w:rPr>
        <w:t>1</w:t>
      </w:r>
      <w:r w:rsidRPr="00264EEF">
        <w:rPr>
          <w:color w:val="000000"/>
        </w:rPr>
        <w:t xml:space="preserve">Department of Pharmacy and Pharmacology, University of Bath, </w:t>
      </w:r>
      <w:r>
        <w:rPr>
          <w:color w:val="000000"/>
        </w:rPr>
        <w:t>UK</w:t>
      </w:r>
      <w:r w:rsidRPr="00264EEF">
        <w:rPr>
          <w:color w:val="000000"/>
        </w:rPr>
        <w:t>.</w:t>
      </w:r>
    </w:p>
    <w:p w14:paraId="18B34F83" w14:textId="77777777" w:rsidR="003E4477" w:rsidRDefault="003E4477" w:rsidP="003E4477">
      <w:pPr>
        <w:spacing w:after="0"/>
        <w:jc w:val="center"/>
        <w:rPr>
          <w:rFonts w:cs="Arial"/>
          <w:color w:val="232323"/>
          <w:lang w:val="en-US"/>
        </w:rPr>
      </w:pPr>
      <w:r>
        <w:rPr>
          <w:rFonts w:cs="Arial"/>
          <w:color w:val="232323"/>
          <w:vertAlign w:val="superscript"/>
          <w:lang w:val="en-US"/>
        </w:rPr>
        <w:t>2</w:t>
      </w:r>
      <w:r>
        <w:rPr>
          <w:rFonts w:cs="Arial"/>
          <w:color w:val="232323"/>
          <w:lang w:val="en-US"/>
        </w:rPr>
        <w:t xml:space="preserve">Malvern Instruments Limited, </w:t>
      </w:r>
      <w:proofErr w:type="spellStart"/>
      <w:r>
        <w:rPr>
          <w:rFonts w:cs="Arial"/>
          <w:color w:val="232323"/>
          <w:lang w:val="en-US"/>
        </w:rPr>
        <w:t>Grovewood</w:t>
      </w:r>
      <w:proofErr w:type="spellEnd"/>
      <w:r>
        <w:rPr>
          <w:rFonts w:cs="Arial"/>
          <w:color w:val="232323"/>
          <w:lang w:val="en-US"/>
        </w:rPr>
        <w:t xml:space="preserve"> Road, Malvern, UK.</w:t>
      </w:r>
    </w:p>
    <w:p w14:paraId="31FE1A0D" w14:textId="77777777" w:rsidR="00C65A37" w:rsidRDefault="00C65A37" w:rsidP="00D156FE">
      <w:pPr>
        <w:pStyle w:val="DDLHeading1"/>
        <w:rPr>
          <w:b w:val="0"/>
        </w:rPr>
      </w:pPr>
      <w:r w:rsidRPr="00D156FE">
        <w:t>Summary</w:t>
      </w:r>
    </w:p>
    <w:p w14:paraId="273C23D2" w14:textId="20A5A027" w:rsidR="0030358E" w:rsidRPr="006B419D" w:rsidRDefault="0030358E" w:rsidP="0030358E">
      <w:pPr>
        <w:widowControl w:val="0"/>
        <w:autoSpaceDE w:val="0"/>
        <w:autoSpaceDN w:val="0"/>
        <w:adjustRightInd w:val="0"/>
        <w:spacing w:after="240"/>
        <w:rPr>
          <w:rFonts w:eastAsia="Arial Unicode MS" w:cs="Arial"/>
        </w:rPr>
      </w:pPr>
      <w:r w:rsidRPr="006B419D">
        <w:rPr>
          <w:rFonts w:eastAsia="Arial Unicode MS" w:cs="Arial"/>
        </w:rPr>
        <w:t>With several patent expirations of innovator DPI products looming, the major challenge for generic entry is understanding and demonstrating bioequivalence (BE) with respect to the innovator reference product. BE of locally acting drugs has been a long-standing challenge for the introduction of generic DPI drug products, which do not rely on the systemic circulation for targeting the site of action. The FDA has conceived a concept for demonstrating BE of topical products, which is called Q3-equivalence. This term describes structural similarity between test and reference product and refers to the arrangement of matter and state of aggregation of the product. However, demonstrating Q3-equivalence between test and reference DPI products is challenging due to the complexity of DPI dosage forms. Therefore, there is a requirement of in-vitro analytical tools that maybe employed orthogonally to demonstrate Q3-equivalence of the microstructure of test and reference DPI drug products.</w:t>
      </w:r>
    </w:p>
    <w:p w14:paraId="39BA7CE3" w14:textId="741E5A17" w:rsidR="0030358E" w:rsidRPr="006B419D" w:rsidRDefault="0030358E" w:rsidP="0030358E">
      <w:pPr>
        <w:widowControl w:val="0"/>
        <w:autoSpaceDE w:val="0"/>
        <w:autoSpaceDN w:val="0"/>
        <w:adjustRightInd w:val="0"/>
        <w:spacing w:after="240"/>
        <w:rPr>
          <w:rFonts w:eastAsia="Arial Unicode MS" w:cs="Arial"/>
        </w:rPr>
      </w:pPr>
      <w:r w:rsidRPr="006B419D">
        <w:rPr>
          <w:rFonts w:eastAsia="Arial Unicode MS" w:cs="Arial"/>
        </w:rPr>
        <w:t xml:space="preserve">The differences in the physical microstructure of a formulated DPI blend may not only impact the aerosol dispersion performance within a device but could also affect other factors within the lung. Hence, investigations into the state of aggregation for the resulting arrangement of the dispersed dose could be vitally important in demonstrating structural similarity and BE between DPI products. </w:t>
      </w:r>
    </w:p>
    <w:p w14:paraId="7BEFEE87" w14:textId="27615028" w:rsidR="003507CA" w:rsidRPr="003507CA" w:rsidRDefault="003507CA" w:rsidP="003507CA">
      <w:pPr>
        <w:widowControl w:val="0"/>
        <w:autoSpaceDE w:val="0"/>
        <w:autoSpaceDN w:val="0"/>
        <w:adjustRightInd w:val="0"/>
        <w:spacing w:after="240"/>
        <w:rPr>
          <w:rFonts w:eastAsia="Arial Unicode MS" w:cs="Arial"/>
        </w:rPr>
      </w:pPr>
      <w:r w:rsidRPr="006B419D">
        <w:rPr>
          <w:rFonts w:eastAsia="Arial Unicode MS" w:cs="Arial"/>
        </w:rPr>
        <w:t xml:space="preserve">Our proposed approach utilizes a combination of orthogonal techniques to support characterization </w:t>
      </w:r>
      <w:r w:rsidR="006B419D" w:rsidRPr="006B419D">
        <w:rPr>
          <w:rFonts w:eastAsia="Arial Unicode MS" w:cs="Arial"/>
        </w:rPr>
        <w:t xml:space="preserve">of DPI </w:t>
      </w:r>
      <w:r w:rsidRPr="006B419D">
        <w:rPr>
          <w:rFonts w:eastAsia="Arial Unicode MS" w:cs="Arial"/>
        </w:rPr>
        <w:t xml:space="preserve">formulations. These techniques include morphology directed Raman spectroscopy (MDRS) and </w:t>
      </w:r>
      <w:proofErr w:type="spellStart"/>
      <w:r w:rsidRPr="006B419D">
        <w:rPr>
          <w:rFonts w:eastAsia="Arial Unicode MS" w:cs="Arial"/>
        </w:rPr>
        <w:t>UniDose</w:t>
      </w:r>
      <w:proofErr w:type="spellEnd"/>
      <w:r w:rsidRPr="006B419D">
        <w:rPr>
          <w:rFonts w:eastAsia="Arial Unicode MS" w:cs="Arial"/>
        </w:rPr>
        <w:t xml:space="preserve">-enabled dissolution testing. </w:t>
      </w:r>
      <w:r w:rsidR="006B419D" w:rsidRPr="006B419D">
        <w:rPr>
          <w:rFonts w:eastAsia="Arial Unicode MS" w:cs="Arial"/>
        </w:rPr>
        <w:t xml:space="preserve">In this study, we have investigated the microstructure of the aerosolised dose of </w:t>
      </w:r>
      <w:proofErr w:type="spellStart"/>
      <w:r w:rsidR="006B419D" w:rsidRPr="006B419D">
        <w:rPr>
          <w:rFonts w:eastAsia="Arial Unicode MS" w:cs="Arial"/>
        </w:rPr>
        <w:t>Seretide</w:t>
      </w:r>
      <w:proofErr w:type="spellEnd"/>
      <w:r w:rsidR="006B419D" w:rsidRPr="006B419D">
        <w:rPr>
          <w:rFonts w:eastAsia="Arial Unicode MS" w:cs="Arial"/>
        </w:rPr>
        <w:t xml:space="preserve"> and Advair DPIs using </w:t>
      </w:r>
      <w:proofErr w:type="spellStart"/>
      <w:r w:rsidR="006B419D" w:rsidRPr="006B419D">
        <w:rPr>
          <w:rFonts w:eastAsia="Arial Unicode MS" w:cs="Arial"/>
        </w:rPr>
        <w:t>UniDose</w:t>
      </w:r>
      <w:proofErr w:type="spellEnd"/>
      <w:r w:rsidR="006B419D" w:rsidRPr="006B419D">
        <w:rPr>
          <w:rFonts w:eastAsia="Arial Unicode MS" w:cs="Arial"/>
        </w:rPr>
        <w:t xml:space="preserve"> and MDRS. </w:t>
      </w:r>
    </w:p>
    <w:p w14:paraId="5DEFB4FB" w14:textId="77777777" w:rsidR="00C65A37" w:rsidRPr="00BD68AD" w:rsidRDefault="00C65A37" w:rsidP="00D156FE">
      <w:pPr>
        <w:pStyle w:val="DDLHeading1"/>
      </w:pPr>
      <w:r w:rsidRPr="00BD68AD">
        <w:t>Introduction</w:t>
      </w:r>
    </w:p>
    <w:p w14:paraId="1D68051B" w14:textId="13103C48" w:rsidR="00CE4EC8" w:rsidRPr="006A6E9B" w:rsidRDefault="006A6E9B" w:rsidP="006A6E9B">
      <w:pPr>
        <w:widowControl w:val="0"/>
        <w:autoSpaceDE w:val="0"/>
        <w:autoSpaceDN w:val="0"/>
        <w:adjustRightInd w:val="0"/>
        <w:spacing w:after="240"/>
        <w:rPr>
          <w:rFonts w:eastAsia="Arial Unicode MS" w:cs="Arial"/>
        </w:rPr>
      </w:pPr>
      <w:r w:rsidRPr="005061A4">
        <w:rPr>
          <w:rFonts w:eastAsia="Arial Unicode MS" w:cs="Arial"/>
        </w:rPr>
        <w:t xml:space="preserve">With several patent expirations of innovator </w:t>
      </w:r>
      <w:r>
        <w:rPr>
          <w:rFonts w:eastAsia="Arial Unicode MS" w:cs="Arial"/>
        </w:rPr>
        <w:t>dry powder inhaler (</w:t>
      </w:r>
      <w:r w:rsidRPr="005061A4">
        <w:rPr>
          <w:rFonts w:eastAsia="Arial Unicode MS" w:cs="Arial"/>
        </w:rPr>
        <w:t>DPI</w:t>
      </w:r>
      <w:r>
        <w:rPr>
          <w:rFonts w:eastAsia="Arial Unicode MS" w:cs="Arial"/>
        </w:rPr>
        <w:t>)</w:t>
      </w:r>
      <w:r w:rsidRPr="005061A4">
        <w:rPr>
          <w:rFonts w:eastAsia="Arial Unicode MS" w:cs="Arial"/>
        </w:rPr>
        <w:t xml:space="preserve"> products looming, the major challenge for generic entry is understanding and demonstrating bioequivalence (BE) with respect to the innovator reference product. BE of locally acting drugs has been a long-standing challenge for the introduction of generic DPI drug products, which do not rely on the systemic circulation for targeting the site of action. Current FDA guidance </w:t>
      </w:r>
      <w:r>
        <w:rPr>
          <w:rFonts w:eastAsia="Arial Unicode MS" w:cs="Arial"/>
        </w:rPr>
        <w:t>utilizes</w:t>
      </w:r>
      <w:r w:rsidRPr="005061A4">
        <w:rPr>
          <w:rFonts w:eastAsia="Arial Unicode MS" w:cs="Arial"/>
        </w:rPr>
        <w:t xml:space="preserve"> a “weight of evidence </w:t>
      </w:r>
      <w:r w:rsidR="003C5DC5" w:rsidRPr="005061A4">
        <w:rPr>
          <w:rFonts w:eastAsia="Arial Unicode MS" w:cs="Arial"/>
        </w:rPr>
        <w:t>approaches</w:t>
      </w:r>
      <w:r w:rsidRPr="005061A4">
        <w:rPr>
          <w:rFonts w:eastAsia="Arial Unicode MS" w:cs="Arial"/>
        </w:rPr>
        <w:t xml:space="preserve"> to help determine BE between test and reference DPI products. This approach combines in vitro studies to determine comparable aerodynamic particle size distribution (APSD) and in vivo equivalence using pharmacokinetic (</w:t>
      </w:r>
      <w:proofErr w:type="spellStart"/>
      <w:r w:rsidRPr="005061A4">
        <w:rPr>
          <w:rFonts w:eastAsia="Arial Unicode MS" w:cs="Arial"/>
        </w:rPr>
        <w:t>pK</w:t>
      </w:r>
      <w:proofErr w:type="spellEnd"/>
      <w:r w:rsidRPr="005061A4">
        <w:rPr>
          <w:rFonts w:eastAsia="Arial Unicode MS" w:cs="Arial"/>
        </w:rPr>
        <w:t xml:space="preserve">) and </w:t>
      </w:r>
      <w:proofErr w:type="spellStart"/>
      <w:r w:rsidRPr="005061A4">
        <w:rPr>
          <w:rFonts w:eastAsia="Arial Unicode MS" w:cs="Arial"/>
        </w:rPr>
        <w:t>pharmacodynamic</w:t>
      </w:r>
      <w:proofErr w:type="spellEnd"/>
      <w:r w:rsidRPr="005061A4">
        <w:rPr>
          <w:rFonts w:eastAsia="Arial Unicode MS" w:cs="Arial"/>
        </w:rPr>
        <w:t xml:space="preserve"> (PD) studies</w:t>
      </w:r>
      <w:r w:rsidR="006B419D">
        <w:rPr>
          <w:rFonts w:eastAsia="Arial Unicode MS" w:cs="Arial"/>
        </w:rPr>
        <w:t xml:space="preserve"> </w:t>
      </w:r>
      <w:r w:rsidR="006B419D" w:rsidRPr="006B419D">
        <w:rPr>
          <w:rFonts w:eastAsia="Arial Unicode MS" w:cs="Arial"/>
          <w:vertAlign w:val="superscript"/>
        </w:rPr>
        <w:t>[1]</w:t>
      </w:r>
      <w:r w:rsidRPr="005061A4">
        <w:rPr>
          <w:rFonts w:eastAsia="Arial Unicode MS" w:cs="Arial"/>
        </w:rPr>
        <w:t xml:space="preserve">. </w:t>
      </w:r>
    </w:p>
    <w:p w14:paraId="5752AE81" w14:textId="0BFC2447" w:rsidR="001F037C" w:rsidRPr="001F037C" w:rsidRDefault="001F037C" w:rsidP="001F037C">
      <w:pPr>
        <w:pStyle w:val="DDLBodyText"/>
        <w:rPr>
          <w:lang w:val="en-US"/>
        </w:rPr>
      </w:pPr>
      <w:r w:rsidRPr="00306EC2">
        <w:rPr>
          <w:rFonts w:eastAsia="Arial Unicode MS" w:cs="Arial"/>
        </w:rPr>
        <w:t>The FDA had already classified, for bioequivalence testing of locally-acting topical dosage forms, that differences between the same components (Q1) in the same concentration (Q2) under a non-equilibrium state is related to the arrangement of matter or its state of aggregation. The FDA have termed this need for structural similarity as Q3. For transdermal suspensions, creams, gels etc., if Q1 and Q2 are identical the only potential d</w:t>
      </w:r>
      <w:r>
        <w:rPr>
          <w:rFonts w:eastAsia="Arial Unicode MS" w:cs="Arial"/>
        </w:rPr>
        <w:t>ifference between formulation “microstructure”</w:t>
      </w:r>
      <w:r w:rsidRPr="00306EC2">
        <w:rPr>
          <w:rFonts w:eastAsia="Arial Unicode MS" w:cs="Arial"/>
        </w:rPr>
        <w:t xml:space="preserve"> are related to Q3</w:t>
      </w:r>
      <w:r w:rsidR="00EA10BB">
        <w:rPr>
          <w:rFonts w:eastAsia="Arial Unicode MS" w:cs="Arial"/>
          <w:vertAlign w:val="superscript"/>
        </w:rPr>
        <w:t>[2]</w:t>
      </w:r>
      <w:r w:rsidRPr="00306EC2">
        <w:rPr>
          <w:rFonts w:eastAsia="Arial Unicode MS" w:cs="Arial"/>
        </w:rPr>
        <w:t>.</w:t>
      </w:r>
      <w:r w:rsidR="00087A34">
        <w:rPr>
          <w:rFonts w:eastAsia="Arial Unicode MS" w:cs="Arial"/>
        </w:rPr>
        <w:t xml:space="preserve"> </w:t>
      </w:r>
      <w:r w:rsidR="00087A34" w:rsidRPr="00306EC2">
        <w:rPr>
          <w:rFonts w:eastAsia="Arial Unicode MS" w:cs="Arial"/>
        </w:rPr>
        <w:t>The differences in the physical microstructure of a formulated DPI blend may not only impact the aerosol dispersion performance within a device but could also affect other factors within the lung. These include local dose variation</w:t>
      </w:r>
      <w:r w:rsidR="00087A34">
        <w:rPr>
          <w:rFonts w:eastAsia="Arial Unicode MS" w:cs="Arial"/>
        </w:rPr>
        <w:t>s,</w:t>
      </w:r>
      <w:r w:rsidR="00087A34" w:rsidRPr="00306EC2">
        <w:rPr>
          <w:rFonts w:eastAsia="Arial Unicode MS" w:cs="Arial"/>
        </w:rPr>
        <w:t xml:space="preserve"> co-localisation </w:t>
      </w:r>
      <w:r w:rsidR="00087A34">
        <w:rPr>
          <w:rFonts w:eastAsia="Arial Unicode MS" w:cs="Arial"/>
        </w:rPr>
        <w:t xml:space="preserve">differences and changes in the wettability </w:t>
      </w:r>
      <w:r w:rsidR="00087A34" w:rsidRPr="00306EC2">
        <w:rPr>
          <w:rFonts w:eastAsia="Arial Unicode MS" w:cs="Arial"/>
        </w:rPr>
        <w:t>and dissolution kinetics of the drug within the volume limited lung fluid, and, thus, its absorption behaviour.</w:t>
      </w:r>
    </w:p>
    <w:p w14:paraId="0141DA3A" w14:textId="60414F92" w:rsidR="00F315B1" w:rsidRPr="00F315B1" w:rsidRDefault="00F315B1" w:rsidP="00D156FE">
      <w:pPr>
        <w:pStyle w:val="DDLHeading1"/>
        <w:rPr>
          <w:b w:val="0"/>
        </w:rPr>
      </w:pPr>
      <w:r w:rsidRPr="00F315B1">
        <w:rPr>
          <w:b w:val="0"/>
        </w:rPr>
        <w:t xml:space="preserve">Such an approach warrants the application of advanced analytical tools to characterise material properties at the mesoscale and provide analysis of formulation microstructure. This “microstructure” is a function of the surface interfacial interactions between components of the formulation and the blending conditions, which define how the surface interfacial forces created upon </w:t>
      </w:r>
      <w:proofErr w:type="spellStart"/>
      <w:r w:rsidRPr="00F315B1">
        <w:rPr>
          <w:b w:val="0"/>
        </w:rPr>
        <w:t>aerosolization</w:t>
      </w:r>
      <w:proofErr w:type="spellEnd"/>
      <w:r w:rsidRPr="00F315B1">
        <w:rPr>
          <w:b w:val="0"/>
        </w:rPr>
        <w:t xml:space="preserve"> are transferred through the microstructure to aid particle re-suspension and therefore, </w:t>
      </w:r>
      <w:proofErr w:type="spellStart"/>
      <w:r w:rsidRPr="00F315B1">
        <w:rPr>
          <w:b w:val="0"/>
        </w:rPr>
        <w:t>aerosolization</w:t>
      </w:r>
      <w:proofErr w:type="spellEnd"/>
      <w:r w:rsidRPr="00F315B1">
        <w:rPr>
          <w:b w:val="0"/>
        </w:rPr>
        <w:t xml:space="preserve"> performance.</w:t>
      </w:r>
      <w:r w:rsidR="00F35FC0">
        <w:rPr>
          <w:b w:val="0"/>
        </w:rPr>
        <w:t xml:space="preserve"> Hence, </w:t>
      </w:r>
      <w:r w:rsidR="00E16AC0" w:rsidRPr="00E16AC0">
        <w:rPr>
          <w:b w:val="0"/>
        </w:rPr>
        <w:t>analytical tools to support Q3-equivalence of DPI formulation must form a relationship between the microscopic and macroscopic properties of the formulation systems. In this study, we combine orthogonal techniques to support characterization of the microstructure of</w:t>
      </w:r>
      <w:r w:rsidR="00F35FC0">
        <w:rPr>
          <w:b w:val="0"/>
        </w:rPr>
        <w:t xml:space="preserve"> </w:t>
      </w:r>
      <w:proofErr w:type="spellStart"/>
      <w:r w:rsidR="00F35FC0">
        <w:rPr>
          <w:b w:val="0"/>
        </w:rPr>
        <w:t>Seretide</w:t>
      </w:r>
      <w:proofErr w:type="spellEnd"/>
      <w:r w:rsidR="003C5DC5">
        <w:rPr>
          <w:b w:val="0"/>
        </w:rPr>
        <w:sym w:font="Symbol" w:char="F0D4"/>
      </w:r>
      <w:r w:rsidR="003C5DC5">
        <w:rPr>
          <w:b w:val="0"/>
        </w:rPr>
        <w:t xml:space="preserve"> </w:t>
      </w:r>
      <w:proofErr w:type="spellStart"/>
      <w:r w:rsidR="00F35FC0">
        <w:rPr>
          <w:b w:val="0"/>
        </w:rPr>
        <w:t>Accuhaler</w:t>
      </w:r>
      <w:proofErr w:type="spellEnd"/>
      <w:r w:rsidR="003C5DC5">
        <w:rPr>
          <w:b w:val="0"/>
        </w:rPr>
        <w:sym w:font="Symbol" w:char="F0D4"/>
      </w:r>
      <w:r w:rsidR="003C5DC5">
        <w:rPr>
          <w:b w:val="0"/>
        </w:rPr>
        <w:t xml:space="preserve"> and Advair </w:t>
      </w:r>
      <w:proofErr w:type="spellStart"/>
      <w:r w:rsidR="003C5DC5">
        <w:rPr>
          <w:b w:val="0"/>
        </w:rPr>
        <w:t>Diskus</w:t>
      </w:r>
      <w:proofErr w:type="spellEnd"/>
      <w:r w:rsidR="003C5DC5">
        <w:rPr>
          <w:b w:val="0"/>
        </w:rPr>
        <w:sym w:font="Symbol" w:char="F0D2"/>
      </w:r>
      <w:r w:rsidR="003C5DC5">
        <w:rPr>
          <w:b w:val="0"/>
        </w:rPr>
        <w:t xml:space="preserve"> </w:t>
      </w:r>
      <w:r w:rsidR="00E16AC0" w:rsidRPr="00E16AC0">
        <w:rPr>
          <w:b w:val="0"/>
        </w:rPr>
        <w:t xml:space="preserve">DPI </w:t>
      </w:r>
      <w:r w:rsidR="003C5DC5">
        <w:rPr>
          <w:b w:val="0"/>
        </w:rPr>
        <w:t>products</w:t>
      </w:r>
      <w:r w:rsidR="00E16AC0" w:rsidRPr="00E16AC0">
        <w:rPr>
          <w:b w:val="0"/>
        </w:rPr>
        <w:t xml:space="preserve"> using </w:t>
      </w:r>
      <w:proofErr w:type="spellStart"/>
      <w:r w:rsidR="00E16AC0" w:rsidRPr="00E16AC0">
        <w:rPr>
          <w:b w:val="0"/>
        </w:rPr>
        <w:t>UniDose</w:t>
      </w:r>
      <w:proofErr w:type="spellEnd"/>
      <w:r w:rsidR="00E16AC0" w:rsidRPr="00E16AC0">
        <w:rPr>
          <w:b w:val="0"/>
        </w:rPr>
        <w:t xml:space="preserve">-enabled dissolution testing of DPI formulations and morphology directed Raman spectroscopy (MDRS). </w:t>
      </w:r>
      <w:r w:rsidRPr="00F315B1">
        <w:rPr>
          <w:b w:val="0"/>
        </w:rPr>
        <w:t xml:space="preserve"> </w:t>
      </w:r>
    </w:p>
    <w:p w14:paraId="7F648401" w14:textId="5817ABA6" w:rsidR="00966CD3" w:rsidRPr="00BD68AD" w:rsidRDefault="00F315B1" w:rsidP="00D156FE">
      <w:pPr>
        <w:pStyle w:val="DDLHeading1"/>
      </w:pPr>
      <w:r>
        <w:t>Experimental Methods</w:t>
      </w:r>
    </w:p>
    <w:p w14:paraId="76622724" w14:textId="2843BB24" w:rsidR="00BB5229" w:rsidRPr="00BB5229" w:rsidRDefault="00545178" w:rsidP="00BB5229">
      <w:pPr>
        <w:pStyle w:val="DDLBodyText"/>
        <w:rPr>
          <w:highlight w:val="yellow"/>
        </w:rPr>
      </w:pPr>
      <w:proofErr w:type="spellStart"/>
      <w:r w:rsidRPr="00545178">
        <w:rPr>
          <w:rFonts w:cs="Arial"/>
          <w:szCs w:val="18"/>
        </w:rPr>
        <w:t>Seretide</w:t>
      </w:r>
      <w:proofErr w:type="spellEnd"/>
      <w:r w:rsidRPr="00545178">
        <w:rPr>
          <w:rFonts w:cs="Arial"/>
          <w:szCs w:val="18"/>
        </w:rPr>
        <w:sym w:font="Symbol" w:char="F0D4"/>
      </w:r>
      <w:r w:rsidRPr="00545178">
        <w:rPr>
          <w:rFonts w:cs="Arial"/>
          <w:szCs w:val="18"/>
        </w:rPr>
        <w:t xml:space="preserve"> </w:t>
      </w:r>
      <w:proofErr w:type="spellStart"/>
      <w:r w:rsidRPr="00545178">
        <w:rPr>
          <w:rFonts w:cs="Arial"/>
          <w:szCs w:val="18"/>
        </w:rPr>
        <w:t>Accuhaler</w:t>
      </w:r>
      <w:proofErr w:type="spellEnd"/>
      <w:r w:rsidRPr="00545178">
        <w:rPr>
          <w:rFonts w:cs="Arial"/>
          <w:szCs w:val="18"/>
        </w:rPr>
        <w:sym w:font="Symbol" w:char="F0D4"/>
      </w:r>
      <w:r w:rsidRPr="00545178">
        <w:rPr>
          <w:rFonts w:cs="Arial"/>
          <w:szCs w:val="18"/>
        </w:rPr>
        <w:t xml:space="preserve"> and Advair </w:t>
      </w:r>
      <w:proofErr w:type="spellStart"/>
      <w:r w:rsidRPr="00545178">
        <w:rPr>
          <w:rFonts w:cs="Arial"/>
          <w:szCs w:val="18"/>
        </w:rPr>
        <w:t>Diskus</w:t>
      </w:r>
      <w:proofErr w:type="spellEnd"/>
      <w:r w:rsidRPr="00545178">
        <w:rPr>
          <w:rFonts w:cs="Arial"/>
          <w:szCs w:val="18"/>
        </w:rPr>
        <w:sym w:font="Symbol" w:char="F0D2"/>
      </w:r>
      <w:r w:rsidRPr="00545178">
        <w:rPr>
          <w:rFonts w:cs="Arial"/>
          <w:szCs w:val="18"/>
        </w:rPr>
        <w:t xml:space="preserve"> (Lot No.: 5ZP2673, </w:t>
      </w:r>
      <w:proofErr w:type="spellStart"/>
      <w:r w:rsidRPr="00545178">
        <w:rPr>
          <w:rFonts w:cs="Arial"/>
          <w:szCs w:val="18"/>
        </w:rPr>
        <w:t>Exp</w:t>
      </w:r>
      <w:proofErr w:type="spellEnd"/>
      <w:r w:rsidRPr="00545178">
        <w:rPr>
          <w:rFonts w:cs="Arial"/>
          <w:szCs w:val="18"/>
        </w:rPr>
        <w:t>: 04/2017) was sourced from a wholesale pharmacy. These batches were investigated in terms of the dissolution of the FP in each product and the agglomerate structure using MDRS.</w:t>
      </w:r>
      <w:r>
        <w:rPr>
          <w:rFonts w:cs="Arial"/>
          <w:szCs w:val="18"/>
          <w:highlight w:val="yellow"/>
        </w:rPr>
        <w:t xml:space="preserve"> </w:t>
      </w:r>
    </w:p>
    <w:p w14:paraId="3BBEF40D" w14:textId="59A482FD" w:rsidR="00A77CA8" w:rsidRPr="00545178" w:rsidRDefault="00A77CA8" w:rsidP="00A77CA8">
      <w:pPr>
        <w:pStyle w:val="DDLBodyText"/>
      </w:pPr>
      <w:r w:rsidRPr="00545178">
        <w:lastRenderedPageBreak/>
        <w:t xml:space="preserve">The </w:t>
      </w:r>
      <w:r w:rsidR="004A4870" w:rsidRPr="00306EC2">
        <w:rPr>
          <w:rFonts w:eastAsia="Arial Unicode MS" w:cs="Arial"/>
        </w:rPr>
        <w:t xml:space="preserve">impactor stage mass </w:t>
      </w:r>
      <w:r w:rsidR="004A4870">
        <w:rPr>
          <w:rFonts w:eastAsia="Arial Unicode MS" w:cs="Arial"/>
        </w:rPr>
        <w:t>(</w:t>
      </w:r>
      <w:r w:rsidRPr="00545178">
        <w:t>ISM</w:t>
      </w:r>
      <w:r w:rsidR="004A4870">
        <w:t>)</w:t>
      </w:r>
      <w:r w:rsidRPr="00545178">
        <w:t xml:space="preserve"> aerosol dose</w:t>
      </w:r>
      <w:r w:rsidR="00545178" w:rsidRPr="00545178">
        <w:t xml:space="preserve"> of each product</w:t>
      </w:r>
      <w:r w:rsidRPr="00545178">
        <w:t xml:space="preserve"> was collected via the </w:t>
      </w:r>
      <w:proofErr w:type="spellStart"/>
      <w:r w:rsidRPr="00545178">
        <w:t>UniDose</w:t>
      </w:r>
      <w:proofErr w:type="spellEnd"/>
      <w:r w:rsidRPr="00545178">
        <w:t xml:space="preserve"> system</w:t>
      </w:r>
      <w:r w:rsidR="00545178" w:rsidRPr="00545178">
        <w:t xml:space="preserve"> at 60 L/min over 4L inhalation volume</w:t>
      </w:r>
      <w:r w:rsidRPr="00545178">
        <w:t xml:space="preserve">. </w:t>
      </w:r>
      <w:r w:rsidRPr="00545178">
        <w:rPr>
          <w:lang w:val="en-US"/>
        </w:rPr>
        <w:t xml:space="preserve">The </w:t>
      </w:r>
      <w:proofErr w:type="spellStart"/>
      <w:r w:rsidRPr="00545178">
        <w:rPr>
          <w:lang w:val="en-US"/>
        </w:rPr>
        <w:t>UniDose</w:t>
      </w:r>
      <w:proofErr w:type="spellEnd"/>
      <w:r w:rsidRPr="00545178">
        <w:rPr>
          <w:lang w:val="en-US"/>
        </w:rPr>
        <w:t xml:space="preserve"> collection system has been developed to uniformly deposit the whole impactor stage mass (i.e. below stage 2 of an NGI) onto a glass </w:t>
      </w:r>
      <w:proofErr w:type="spellStart"/>
      <w:r w:rsidRPr="00545178">
        <w:rPr>
          <w:lang w:val="en-US"/>
        </w:rPr>
        <w:t>microfibre</w:t>
      </w:r>
      <w:proofErr w:type="spellEnd"/>
      <w:r w:rsidRPr="00545178">
        <w:rPr>
          <w:lang w:val="en-US"/>
        </w:rPr>
        <w:t xml:space="preserve"> filter membrane</w:t>
      </w:r>
      <w:r w:rsidR="00545178" w:rsidRPr="00545178">
        <w:rPr>
          <w:lang w:val="en-US"/>
        </w:rPr>
        <w:t xml:space="preserve"> (Fig. 1</w:t>
      </w:r>
      <w:r w:rsidRPr="00545178">
        <w:rPr>
          <w:lang w:val="en-US"/>
        </w:rPr>
        <w:t>).</w:t>
      </w:r>
      <w:r w:rsidR="00545178">
        <w:rPr>
          <w:lang w:val="en-US"/>
        </w:rPr>
        <w:t xml:space="preserve"> Once the ISM dose has been collected on to the filter the cassette can either be placed into a USP II dissolution bath for dissolution determination or placed into the MDRS system for investigation of chemical classification of the agglomerates present in the ISM dose.</w:t>
      </w:r>
    </w:p>
    <w:p w14:paraId="27A55B35" w14:textId="77777777" w:rsidR="00A77CA8" w:rsidRPr="00FE2FCE" w:rsidRDefault="00A77CA8" w:rsidP="00FE2FCE">
      <w:pPr>
        <w:pStyle w:val="DDLBodyText"/>
        <w:jc w:val="center"/>
      </w:pPr>
      <w:r w:rsidRPr="00FE2FCE">
        <w:rPr>
          <w:noProof/>
        </w:rPr>
        <w:drawing>
          <wp:inline distT="0" distB="0" distL="0" distR="0" wp14:anchorId="079F601A" wp14:editId="57DC443B">
            <wp:extent cx="1487993" cy="2344524"/>
            <wp:effectExtent l="0" t="0" r="1079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05682" cy="2372396"/>
                    </a:xfrm>
                    <a:prstGeom prst="rect">
                      <a:avLst/>
                    </a:prstGeom>
                  </pic:spPr>
                </pic:pic>
              </a:graphicData>
            </a:graphic>
          </wp:inline>
        </w:drawing>
      </w:r>
    </w:p>
    <w:p w14:paraId="21E05B19" w14:textId="661730A3" w:rsidR="00A77CA8" w:rsidRPr="00FE2FCE" w:rsidRDefault="00FE2FCE" w:rsidP="00FE2FCE">
      <w:pPr>
        <w:pStyle w:val="DDLBodyText"/>
        <w:jc w:val="center"/>
        <w:rPr>
          <w:b/>
          <w:sz w:val="16"/>
          <w:szCs w:val="16"/>
        </w:rPr>
      </w:pPr>
      <w:r>
        <w:rPr>
          <w:b/>
          <w:sz w:val="16"/>
          <w:szCs w:val="16"/>
        </w:rPr>
        <w:t>Figure 1</w:t>
      </w:r>
      <w:r w:rsidR="00A77CA8" w:rsidRPr="00FE2FCE">
        <w:rPr>
          <w:b/>
          <w:sz w:val="16"/>
          <w:szCs w:val="16"/>
        </w:rPr>
        <w:t xml:space="preserve">: Schematic representation of the </w:t>
      </w:r>
      <w:proofErr w:type="spellStart"/>
      <w:r w:rsidR="00A77CA8" w:rsidRPr="00FE2FCE">
        <w:rPr>
          <w:b/>
          <w:sz w:val="16"/>
          <w:szCs w:val="16"/>
        </w:rPr>
        <w:t>UniDose</w:t>
      </w:r>
      <w:proofErr w:type="spellEnd"/>
      <w:r w:rsidR="00A77CA8" w:rsidRPr="00FE2FCE">
        <w:rPr>
          <w:b/>
          <w:sz w:val="16"/>
          <w:szCs w:val="16"/>
        </w:rPr>
        <w:t xml:space="preserve"> collection system housed at stage 2 of an NGI.</w:t>
      </w:r>
    </w:p>
    <w:p w14:paraId="3713A4A0" w14:textId="5298A097" w:rsidR="00A77CA8" w:rsidRPr="006D4E62" w:rsidRDefault="00BD6569" w:rsidP="00A77CA8">
      <w:pPr>
        <w:pStyle w:val="DDLBodyText"/>
      </w:pPr>
      <w:r w:rsidRPr="006D4E62">
        <w:t>For dissolution measurements, t</w:t>
      </w:r>
      <w:r w:rsidR="00A77CA8" w:rsidRPr="006D4E62">
        <w:t xml:space="preserve">he filter was placed </w:t>
      </w:r>
      <w:r w:rsidRPr="006D4E62">
        <w:t>into a purpose-built cassette</w:t>
      </w:r>
      <w:r w:rsidR="00A77CA8" w:rsidRPr="006D4E62">
        <w:t xml:space="preserve"> for Paddle ove</w:t>
      </w:r>
      <w:r w:rsidRPr="006D4E62">
        <w:t xml:space="preserve">r Disk dissolution measurements. </w:t>
      </w:r>
      <w:r w:rsidR="00A77CA8" w:rsidRPr="006D4E62">
        <w:t xml:space="preserve">All </w:t>
      </w:r>
      <w:r w:rsidRPr="006D4E62">
        <w:t xml:space="preserve">dissolution </w:t>
      </w:r>
      <w:r w:rsidR="00A77CA8" w:rsidRPr="006D4E62">
        <w:t>studies were undertaken using 300ml PBS pH 7.4 + 0.2% SDS in a USP Apparatus II at 37</w:t>
      </w:r>
      <w:r w:rsidR="00A77CA8" w:rsidRPr="006D4E62">
        <w:rPr>
          <w:vertAlign w:val="superscript"/>
        </w:rPr>
        <w:t>o</w:t>
      </w:r>
      <w:r w:rsidR="00A77CA8" w:rsidRPr="006D4E62">
        <w:t xml:space="preserve">C. For all studies, sink conditions were maintained within the vessel. </w:t>
      </w:r>
    </w:p>
    <w:p w14:paraId="2DAB96F9" w14:textId="4A710AD1" w:rsidR="00BB5229" w:rsidRPr="006D4E62" w:rsidRDefault="00BB5229" w:rsidP="00BB5229">
      <w:pPr>
        <w:pStyle w:val="DDLBodyText"/>
        <w:rPr>
          <w:rFonts w:cs="Arial"/>
        </w:rPr>
      </w:pPr>
      <w:r w:rsidRPr="006D4E62">
        <w:rPr>
          <w:rFonts w:cs="Arial"/>
        </w:rPr>
        <w:t xml:space="preserve">Morphology-directed Raman Spectroscopy (MDRS) was performed on </w:t>
      </w:r>
      <w:r w:rsidR="006D4E62" w:rsidRPr="006D4E62">
        <w:rPr>
          <w:rFonts w:cs="Arial"/>
        </w:rPr>
        <w:t xml:space="preserve">the ISM dose collect on the glass fibre filter using </w:t>
      </w:r>
      <w:proofErr w:type="spellStart"/>
      <w:r w:rsidR="006D4E62" w:rsidRPr="006D4E62">
        <w:rPr>
          <w:rFonts w:cs="Arial"/>
        </w:rPr>
        <w:t>UniDose</w:t>
      </w:r>
      <w:proofErr w:type="spellEnd"/>
      <w:r w:rsidR="006D4E62" w:rsidRPr="006D4E62">
        <w:rPr>
          <w:rFonts w:cs="Arial"/>
        </w:rPr>
        <w:t xml:space="preserve">, which enabled the characterisation of the ISM dose of </w:t>
      </w:r>
      <w:proofErr w:type="spellStart"/>
      <w:r w:rsidR="006D4E62" w:rsidRPr="006D4E62">
        <w:rPr>
          <w:rFonts w:cs="Arial"/>
        </w:rPr>
        <w:t>Seretide</w:t>
      </w:r>
      <w:proofErr w:type="spellEnd"/>
      <w:r w:rsidR="006D4E62" w:rsidRPr="006D4E62">
        <w:rPr>
          <w:rFonts w:cs="Arial"/>
        </w:rPr>
        <w:t xml:space="preserve"> and Advair </w:t>
      </w:r>
      <w:r w:rsidRPr="006D4E62">
        <w:rPr>
          <w:rFonts w:cs="Arial"/>
        </w:rPr>
        <w:t xml:space="preserve">using a </w:t>
      </w:r>
      <w:proofErr w:type="spellStart"/>
      <w:r w:rsidRPr="006D4E62">
        <w:rPr>
          <w:rFonts w:cs="Arial"/>
        </w:rPr>
        <w:t>Morphologi</w:t>
      </w:r>
      <w:proofErr w:type="spellEnd"/>
      <w:r w:rsidRPr="006D4E62">
        <w:rPr>
          <w:rFonts w:cs="Arial"/>
        </w:rPr>
        <w:t xml:space="preserve"> G3-ID (Malvern Instruments, Worcestershire, UK). Upon applying morphological filters, the chemical analysis was carried out using the Kaiser Optical Systems RamanRxn1 Spectrometer integrated in the </w:t>
      </w:r>
      <w:proofErr w:type="spellStart"/>
      <w:r w:rsidRPr="006D4E62">
        <w:rPr>
          <w:rFonts w:cs="Arial"/>
        </w:rPr>
        <w:t>Morphologi</w:t>
      </w:r>
      <w:proofErr w:type="spellEnd"/>
      <w:r w:rsidRPr="006D4E62">
        <w:rPr>
          <w:rFonts w:cs="Arial"/>
        </w:rPr>
        <w:t xml:space="preserve"> G3-ID equipment. The Raman spectrum for each of the particles within the same scanning area was collected using 60s of exposure time with excitation at a wavelength of 785 nm over the spectral range of 100–1825 cm</w:t>
      </w:r>
      <w:r w:rsidRPr="006D4E62">
        <w:rPr>
          <w:rFonts w:cs="Arial"/>
          <w:vertAlign w:val="superscript"/>
        </w:rPr>
        <w:t>-1</w:t>
      </w:r>
      <w:r w:rsidRPr="006D4E62">
        <w:rPr>
          <w:rFonts w:cs="Arial"/>
        </w:rPr>
        <w:t xml:space="preserve"> at a resolution of 4 cm</w:t>
      </w:r>
      <w:r w:rsidRPr="006D4E62">
        <w:rPr>
          <w:rFonts w:cs="Arial"/>
          <w:vertAlign w:val="superscript"/>
        </w:rPr>
        <w:t>-1</w:t>
      </w:r>
      <w:r w:rsidRPr="006D4E62">
        <w:rPr>
          <w:rFonts w:cs="Arial"/>
        </w:rPr>
        <w:t xml:space="preserve">. </w:t>
      </w:r>
    </w:p>
    <w:p w14:paraId="1F20F16C" w14:textId="4DDA8836" w:rsidR="00F315B1" w:rsidRPr="00F315B1" w:rsidRDefault="00F315B1" w:rsidP="00D156FE">
      <w:pPr>
        <w:pStyle w:val="DDLBodyText"/>
        <w:rPr>
          <w:b/>
        </w:rPr>
      </w:pPr>
      <w:r>
        <w:rPr>
          <w:b/>
        </w:rPr>
        <w:t>Results and Discussion</w:t>
      </w:r>
    </w:p>
    <w:p w14:paraId="425A1A3C" w14:textId="630869EB" w:rsidR="0092389C" w:rsidRPr="00306EC2" w:rsidRDefault="004A4870" w:rsidP="0092389C">
      <w:pPr>
        <w:widowControl w:val="0"/>
        <w:autoSpaceDE w:val="0"/>
        <w:autoSpaceDN w:val="0"/>
        <w:adjustRightInd w:val="0"/>
        <w:spacing w:after="240"/>
        <w:rPr>
          <w:rFonts w:eastAsia="Arial Unicode MS" w:cs="Arial"/>
        </w:rPr>
      </w:pPr>
      <w:r>
        <w:rPr>
          <w:rFonts w:eastAsia="Arial Unicode MS" w:cs="Arial"/>
        </w:rPr>
        <w:t>We have previously described the</w:t>
      </w:r>
      <w:r w:rsidR="0092389C" w:rsidRPr="00306EC2">
        <w:rPr>
          <w:rFonts w:eastAsia="Arial Unicode MS" w:cs="Arial"/>
        </w:rPr>
        <w:t xml:space="preserve"> sensitivity of </w:t>
      </w:r>
      <w:r>
        <w:rPr>
          <w:rFonts w:eastAsia="Arial Unicode MS" w:cs="Arial"/>
        </w:rPr>
        <w:t xml:space="preserve">the </w:t>
      </w:r>
      <w:proofErr w:type="spellStart"/>
      <w:r>
        <w:rPr>
          <w:rFonts w:eastAsia="Arial Unicode MS" w:cs="Arial"/>
        </w:rPr>
        <w:t>UniDose</w:t>
      </w:r>
      <w:proofErr w:type="spellEnd"/>
      <w:r w:rsidR="0092389C" w:rsidRPr="00306EC2">
        <w:rPr>
          <w:rFonts w:eastAsia="Arial Unicode MS" w:cs="Arial"/>
        </w:rPr>
        <w:t xml:space="preserve"> aerosol collection system and the resulting in vitro dissolution release profiles to possible structural differences of the collected dose. The aerosol collection system was specifically engineered to address the fundamental challenges of current in vitro dissolution testing of </w:t>
      </w:r>
      <w:r>
        <w:rPr>
          <w:rFonts w:eastAsia="Arial Unicode MS" w:cs="Arial"/>
        </w:rPr>
        <w:t xml:space="preserve">orally inhaled drug </w:t>
      </w:r>
      <w:proofErr w:type="gramStart"/>
      <w:r>
        <w:rPr>
          <w:rFonts w:eastAsia="Arial Unicode MS" w:cs="Arial"/>
        </w:rPr>
        <w:t>products</w:t>
      </w:r>
      <w:r w:rsidR="00EA10BB" w:rsidRPr="00EA10BB">
        <w:rPr>
          <w:rFonts w:eastAsia="Arial Unicode MS" w:cs="Arial"/>
          <w:vertAlign w:val="superscript"/>
        </w:rPr>
        <w:t>[</w:t>
      </w:r>
      <w:proofErr w:type="gramEnd"/>
      <w:r w:rsidR="00EA10BB" w:rsidRPr="00EA10BB">
        <w:rPr>
          <w:rFonts w:eastAsia="Arial Unicode MS" w:cs="Arial"/>
          <w:vertAlign w:val="superscript"/>
        </w:rPr>
        <w:t>3]</w:t>
      </w:r>
      <w:r w:rsidR="0092389C" w:rsidRPr="00306EC2">
        <w:rPr>
          <w:rFonts w:eastAsia="Arial Unicode MS" w:cs="Arial"/>
        </w:rPr>
        <w:t xml:space="preserve">. The system was built to collect a representative respirable lung dose for dissolution studies. </w:t>
      </w:r>
      <w:r>
        <w:rPr>
          <w:rFonts w:eastAsia="Arial Unicode MS" w:cs="Arial"/>
        </w:rPr>
        <w:t>The</w:t>
      </w:r>
      <w:r w:rsidR="0092389C" w:rsidRPr="00306EC2">
        <w:rPr>
          <w:rFonts w:eastAsia="Arial Unicode MS" w:cs="Arial"/>
        </w:rPr>
        <w:t xml:space="preserve"> </w:t>
      </w:r>
      <w:r>
        <w:rPr>
          <w:rFonts w:eastAsia="Arial Unicode MS" w:cs="Arial"/>
        </w:rPr>
        <w:t xml:space="preserve">ISM dose of </w:t>
      </w:r>
      <w:proofErr w:type="spellStart"/>
      <w:r>
        <w:rPr>
          <w:rFonts w:eastAsia="Arial Unicode MS" w:cs="Arial"/>
        </w:rPr>
        <w:t>Seretide</w:t>
      </w:r>
      <w:proofErr w:type="spellEnd"/>
      <w:r>
        <w:rPr>
          <w:rFonts w:eastAsia="Arial Unicode MS" w:cs="Arial"/>
        </w:rPr>
        <w:t xml:space="preserve"> and Advair</w:t>
      </w:r>
      <w:r w:rsidR="0092389C" w:rsidRPr="00306EC2">
        <w:rPr>
          <w:rFonts w:eastAsia="Arial Unicode MS" w:cs="Arial"/>
        </w:rPr>
        <w:t xml:space="preserve"> was validated against the ISM dose collected for increasing number of actuations of a DPI product via a conventional next generation impactor</w:t>
      </w:r>
      <w:r>
        <w:rPr>
          <w:rFonts w:eastAsia="Arial Unicode MS" w:cs="Arial"/>
        </w:rPr>
        <w:t xml:space="preserve"> (data not shown)</w:t>
      </w:r>
      <w:r w:rsidR="0092389C" w:rsidRPr="00306EC2">
        <w:rPr>
          <w:rFonts w:eastAsia="Arial Unicode MS" w:cs="Arial"/>
        </w:rPr>
        <w:t xml:space="preserve">. The design of the collection system increased the ruggedness, reliability and discriminatory capability during dissolution testing by uniformly distributing the aerosol dose over a large surface area filter. The resulting dissolution release profiles were shown to be able to detect changes in the finished product’s dissolution characteristics that may potentially alter the rate and bioavailability of the drug in the dosage form. </w:t>
      </w:r>
    </w:p>
    <w:p w14:paraId="15AD5208" w14:textId="13870FEB" w:rsidR="0092389C" w:rsidRDefault="0092389C" w:rsidP="0092389C">
      <w:pPr>
        <w:widowControl w:val="0"/>
        <w:autoSpaceDE w:val="0"/>
        <w:autoSpaceDN w:val="0"/>
        <w:adjustRightInd w:val="0"/>
        <w:spacing w:after="240"/>
        <w:rPr>
          <w:rFonts w:eastAsia="Arial Unicode MS" w:cs="Arial"/>
        </w:rPr>
      </w:pPr>
      <w:r w:rsidRPr="00306EC2">
        <w:rPr>
          <w:rFonts w:eastAsia="Arial Unicode MS" w:cs="Arial"/>
        </w:rPr>
        <w:t xml:space="preserve">The </w:t>
      </w:r>
      <w:r w:rsidR="004A4870">
        <w:rPr>
          <w:rFonts w:eastAsia="Arial Unicode MS" w:cs="Arial"/>
        </w:rPr>
        <w:t>dissolution of the FP component of the aerosolised</w:t>
      </w:r>
      <w:r w:rsidR="000E52D6">
        <w:rPr>
          <w:rFonts w:eastAsia="Arial Unicode MS" w:cs="Arial"/>
        </w:rPr>
        <w:t xml:space="preserve"> ISM dose of </w:t>
      </w:r>
      <w:proofErr w:type="spellStart"/>
      <w:r w:rsidR="000E52D6">
        <w:rPr>
          <w:rFonts w:eastAsia="Arial Unicode MS" w:cs="Arial"/>
        </w:rPr>
        <w:t>Seretide</w:t>
      </w:r>
      <w:proofErr w:type="spellEnd"/>
      <w:r w:rsidR="000E52D6">
        <w:rPr>
          <w:rFonts w:eastAsia="Arial Unicode MS" w:cs="Arial"/>
        </w:rPr>
        <w:t xml:space="preserve"> and Ad</w:t>
      </w:r>
      <w:r w:rsidR="004A4870">
        <w:rPr>
          <w:rFonts w:eastAsia="Arial Unicode MS" w:cs="Arial"/>
        </w:rPr>
        <w:t>v</w:t>
      </w:r>
      <w:r w:rsidR="000E52D6">
        <w:rPr>
          <w:rFonts w:eastAsia="Arial Unicode MS" w:cs="Arial"/>
        </w:rPr>
        <w:t>a</w:t>
      </w:r>
      <w:r w:rsidR="004A4870">
        <w:rPr>
          <w:rFonts w:eastAsia="Arial Unicode MS" w:cs="Arial"/>
        </w:rPr>
        <w:t xml:space="preserve">ir is shown in Fig. 2. These data suggested that the dissolution rate of FP in </w:t>
      </w:r>
      <w:proofErr w:type="spellStart"/>
      <w:r w:rsidR="004A4870">
        <w:rPr>
          <w:rFonts w:eastAsia="Arial Unicode MS" w:cs="Arial"/>
        </w:rPr>
        <w:t>Seretide</w:t>
      </w:r>
      <w:proofErr w:type="spellEnd"/>
      <w:r w:rsidR="004A4870">
        <w:rPr>
          <w:rFonts w:eastAsia="Arial Unicode MS" w:cs="Arial"/>
        </w:rPr>
        <w:t xml:space="preserve"> was slower than that of FP in Advair. This finding suggested</w:t>
      </w:r>
      <w:r w:rsidRPr="00306EC2">
        <w:rPr>
          <w:rFonts w:eastAsia="Arial Unicode MS" w:cs="Arial"/>
        </w:rPr>
        <w:t xml:space="preserve"> that differences in the in vitro dissolution of the aerosolized form of the product </w:t>
      </w:r>
      <w:r w:rsidR="004A4870">
        <w:rPr>
          <w:rFonts w:eastAsia="Arial Unicode MS" w:cs="Arial"/>
        </w:rPr>
        <w:t>maybe</w:t>
      </w:r>
      <w:r w:rsidRPr="00306EC2">
        <w:rPr>
          <w:rFonts w:eastAsia="Arial Unicode MS" w:cs="Arial"/>
        </w:rPr>
        <w:t xml:space="preserve"> be</w:t>
      </w:r>
      <w:r>
        <w:rPr>
          <w:rFonts w:eastAsia="Arial Unicode MS" w:cs="Arial"/>
        </w:rPr>
        <w:t xml:space="preserve"> directly</w:t>
      </w:r>
      <w:r w:rsidRPr="00306EC2">
        <w:rPr>
          <w:rFonts w:eastAsia="Arial Unicode MS" w:cs="Arial"/>
        </w:rPr>
        <w:t xml:space="preserve"> related to dissolution differences observed within the formulated product. Whilst the source of these di</w:t>
      </w:r>
      <w:r>
        <w:rPr>
          <w:rFonts w:eastAsia="Arial Unicode MS" w:cs="Arial"/>
        </w:rPr>
        <w:t>fference was unknown, they are</w:t>
      </w:r>
      <w:r w:rsidRPr="00306EC2">
        <w:rPr>
          <w:rFonts w:eastAsia="Arial Unicode MS" w:cs="Arial"/>
        </w:rPr>
        <w:t xml:space="preserve"> likely to be related to differences in the physicochemical properties of the API/excipient ingredients in the formulation, physical or chemical attributes of the finished preparation, manufacturing variables between sites, shipping and storage, age and other critical-to-quality characteristics. </w:t>
      </w:r>
    </w:p>
    <w:p w14:paraId="4384D1E3" w14:textId="3A4775FC" w:rsidR="0092389C" w:rsidRDefault="0092389C" w:rsidP="0092389C">
      <w:pPr>
        <w:pStyle w:val="DDLBodyText"/>
        <w:rPr>
          <w:rFonts w:eastAsia="Arial Unicode MS"/>
        </w:rPr>
      </w:pPr>
      <w:r w:rsidRPr="00306EC2">
        <w:rPr>
          <w:rFonts w:eastAsia="Arial Unicode MS"/>
        </w:rPr>
        <w:t xml:space="preserve">The sensitivity in the rate and extent of dissolution between the formulated powder structure and the resulting aerosolized dose suggested that the drug-drug and drug-lactose interactions within the formulated powder dominates both aerosol performance and drug release within the lung. It is well known for solid oral dosage forms that increased dispersion of a low soluble drug within a soluble matrix upon blending can significantly increase the dissolution of sparingly soluble drugs. </w:t>
      </w:r>
      <w:r w:rsidR="000E52D6">
        <w:rPr>
          <w:rFonts w:eastAsia="Arial Unicode MS"/>
        </w:rPr>
        <w:t xml:space="preserve">To understand this behaviour in more detail, MDRS studies of the ISM dose of </w:t>
      </w:r>
      <w:proofErr w:type="spellStart"/>
      <w:r w:rsidR="000E52D6">
        <w:rPr>
          <w:rFonts w:eastAsia="Arial Unicode MS"/>
        </w:rPr>
        <w:t>Seretide</w:t>
      </w:r>
      <w:proofErr w:type="spellEnd"/>
      <w:r w:rsidR="000E52D6">
        <w:rPr>
          <w:rFonts w:eastAsia="Arial Unicode MS"/>
        </w:rPr>
        <w:t xml:space="preserve"> and Advair were also investigated.</w:t>
      </w:r>
    </w:p>
    <w:p w14:paraId="5974B726" w14:textId="77777777" w:rsidR="0092389C" w:rsidRDefault="0092389C" w:rsidP="0092389C">
      <w:pPr>
        <w:pStyle w:val="DDLBodyText"/>
        <w:rPr>
          <w:rFonts w:ascii="Times" w:hAnsi="Times" w:cs="Times"/>
          <w:i/>
          <w:iCs/>
          <w:color w:val="000000"/>
          <w:sz w:val="29"/>
          <w:szCs w:val="29"/>
        </w:rPr>
      </w:pPr>
      <w:r>
        <w:rPr>
          <w:rFonts w:ascii="MS Mincho" w:eastAsia="MS Mincho" w:hAnsi="MS Mincho" w:cs="MS Mincho"/>
          <w:i/>
          <w:iCs/>
          <w:color w:val="000000"/>
          <w:sz w:val="29"/>
          <w:szCs w:val="29"/>
        </w:rPr>
        <w:lastRenderedPageBreak/>
        <w:t> </w:t>
      </w:r>
    </w:p>
    <w:p w14:paraId="6DA303CB" w14:textId="7809C891" w:rsidR="0092389C" w:rsidRDefault="00657361" w:rsidP="00657361">
      <w:pPr>
        <w:pStyle w:val="DDLBodyText"/>
        <w:jc w:val="center"/>
        <w:rPr>
          <w:rFonts w:eastAsia="Arial Unicode MS"/>
        </w:rPr>
      </w:pPr>
      <w:r>
        <w:rPr>
          <w:rFonts w:eastAsia="Arial Unicode MS"/>
          <w:noProof/>
        </w:rPr>
        <w:drawing>
          <wp:inline distT="0" distB="0" distL="0" distR="0" wp14:anchorId="2A60631B" wp14:editId="19E56D0B">
            <wp:extent cx="3629641" cy="2604226"/>
            <wp:effectExtent l="0" t="0" r="3175" b="120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PI-Fig1.png"/>
                    <pic:cNvPicPr/>
                  </pic:nvPicPr>
                  <pic:blipFill>
                    <a:blip r:embed="rId9">
                      <a:extLst>
                        <a:ext uri="{28A0092B-C50C-407E-A947-70E740481C1C}">
                          <a14:useLocalDpi xmlns:a14="http://schemas.microsoft.com/office/drawing/2010/main" val="0"/>
                        </a:ext>
                      </a:extLst>
                    </a:blip>
                    <a:stretch>
                      <a:fillRect/>
                    </a:stretch>
                  </pic:blipFill>
                  <pic:spPr>
                    <a:xfrm>
                      <a:off x="0" y="0"/>
                      <a:ext cx="3662994" cy="2628156"/>
                    </a:xfrm>
                    <a:prstGeom prst="rect">
                      <a:avLst/>
                    </a:prstGeom>
                  </pic:spPr>
                </pic:pic>
              </a:graphicData>
            </a:graphic>
          </wp:inline>
        </w:drawing>
      </w:r>
    </w:p>
    <w:p w14:paraId="5D592662" w14:textId="476B9D3E" w:rsidR="0092389C" w:rsidRPr="0092389C" w:rsidRDefault="0092389C" w:rsidP="0092389C">
      <w:pPr>
        <w:pStyle w:val="DDLBodyText"/>
        <w:rPr>
          <w:rFonts w:eastAsia="Arial Unicode MS"/>
          <w:b/>
          <w:sz w:val="16"/>
          <w:szCs w:val="16"/>
        </w:rPr>
      </w:pPr>
      <w:r w:rsidRPr="0092389C">
        <w:rPr>
          <w:rFonts w:eastAsia="Arial Unicode MS"/>
          <w:b/>
          <w:sz w:val="16"/>
          <w:szCs w:val="16"/>
        </w:rPr>
        <w:t xml:space="preserve">Figure 2: USP Apparatus V Paddle-over-Disk (POD) dissolution release profiles of the aerosolized ISM dose of </w:t>
      </w:r>
      <w:r w:rsidR="00163F37">
        <w:rPr>
          <w:rFonts w:eastAsia="Arial Unicode MS"/>
          <w:b/>
          <w:sz w:val="16"/>
          <w:szCs w:val="16"/>
        </w:rPr>
        <w:t xml:space="preserve">fluticasone propionate from </w:t>
      </w:r>
      <w:r w:rsidRPr="0092389C">
        <w:rPr>
          <w:rFonts w:eastAsia="Arial Unicode MS"/>
          <w:b/>
          <w:sz w:val="16"/>
          <w:szCs w:val="16"/>
        </w:rPr>
        <w:t xml:space="preserve">a EU </w:t>
      </w:r>
      <w:proofErr w:type="spellStart"/>
      <w:r w:rsidRPr="0092389C">
        <w:rPr>
          <w:rFonts w:eastAsia="Arial Unicode MS"/>
          <w:b/>
          <w:sz w:val="16"/>
          <w:szCs w:val="16"/>
        </w:rPr>
        <w:t>Seretide</w:t>
      </w:r>
      <w:proofErr w:type="spellEnd"/>
      <w:r w:rsidRPr="0092389C">
        <w:rPr>
          <w:rFonts w:eastAsia="Arial Unicode MS"/>
          <w:b/>
          <w:sz w:val="16"/>
          <w:szCs w:val="16"/>
        </w:rPr>
        <w:t xml:space="preserve"> 100/50µg </w:t>
      </w:r>
      <w:proofErr w:type="spellStart"/>
      <w:r w:rsidRPr="0092389C">
        <w:rPr>
          <w:rFonts w:eastAsia="Arial Unicode MS"/>
          <w:b/>
          <w:sz w:val="16"/>
          <w:szCs w:val="16"/>
        </w:rPr>
        <w:t>Accuhaler</w:t>
      </w:r>
      <w:proofErr w:type="spellEnd"/>
      <w:r w:rsidRPr="0092389C">
        <w:rPr>
          <w:rFonts w:eastAsia="Arial Unicode MS"/>
          <w:b/>
          <w:sz w:val="16"/>
          <w:szCs w:val="16"/>
        </w:rPr>
        <w:t xml:space="preserve"> DPI product and a US Advair 100/50µg Discus DPI product.</w:t>
      </w:r>
    </w:p>
    <w:p w14:paraId="5F0A7F8D" w14:textId="5C6F125D" w:rsidR="00BB5229" w:rsidRPr="00306EC2" w:rsidRDefault="00E16AC0" w:rsidP="00E16AC0">
      <w:pPr>
        <w:widowControl w:val="0"/>
        <w:autoSpaceDE w:val="0"/>
        <w:autoSpaceDN w:val="0"/>
        <w:adjustRightInd w:val="0"/>
        <w:spacing w:after="240"/>
        <w:rPr>
          <w:rFonts w:eastAsia="Arial Unicode MS" w:cs="Arial"/>
        </w:rPr>
      </w:pPr>
      <w:r w:rsidRPr="00306EC2">
        <w:rPr>
          <w:rFonts w:eastAsia="Arial Unicode MS" w:cs="Arial"/>
        </w:rPr>
        <w:t xml:space="preserve">Our investigations </w:t>
      </w:r>
      <w:r>
        <w:rPr>
          <w:rFonts w:eastAsia="Arial Unicode MS" w:cs="Arial"/>
        </w:rPr>
        <w:t xml:space="preserve">using the morphology directed Raman spectroscopy </w:t>
      </w:r>
      <w:r w:rsidRPr="00306EC2">
        <w:rPr>
          <w:rFonts w:eastAsia="Arial Unicode MS" w:cs="Arial"/>
        </w:rPr>
        <w:t xml:space="preserve">(Malvern </w:t>
      </w:r>
      <w:proofErr w:type="spellStart"/>
      <w:r w:rsidRPr="00306EC2">
        <w:rPr>
          <w:rFonts w:eastAsia="Arial Unicode MS" w:cs="Arial"/>
        </w:rPr>
        <w:t>Morphologi</w:t>
      </w:r>
      <w:proofErr w:type="spellEnd"/>
      <w:r w:rsidRPr="00306EC2">
        <w:rPr>
          <w:rFonts w:eastAsia="Arial Unicode MS" w:cs="Arial"/>
        </w:rPr>
        <w:t xml:space="preserve"> G3 ID) system into the microstructure differences of the ISM dose of a commercial US Advair Discus DPI 100/50µg and its equivalent</w:t>
      </w:r>
      <w:r>
        <w:rPr>
          <w:rFonts w:eastAsia="Arial Unicode MS" w:cs="Arial"/>
        </w:rPr>
        <w:t xml:space="preserve"> European</w:t>
      </w:r>
      <w:r w:rsidRPr="00306EC2">
        <w:rPr>
          <w:rFonts w:eastAsia="Arial Unicode MS" w:cs="Arial"/>
        </w:rPr>
        <w:t xml:space="preserve"> formulation </w:t>
      </w:r>
      <w:proofErr w:type="spellStart"/>
      <w:r w:rsidRPr="00306EC2">
        <w:rPr>
          <w:rFonts w:eastAsia="Arial Unicode MS" w:cs="Arial"/>
        </w:rPr>
        <w:t>Seretide</w:t>
      </w:r>
      <w:proofErr w:type="spellEnd"/>
      <w:r w:rsidRPr="00306EC2">
        <w:rPr>
          <w:rFonts w:eastAsia="Arial Unicode MS" w:cs="Arial"/>
        </w:rPr>
        <w:t xml:space="preserve"> </w:t>
      </w:r>
      <w:proofErr w:type="spellStart"/>
      <w:r w:rsidRPr="00306EC2">
        <w:rPr>
          <w:rFonts w:eastAsia="Arial Unicode MS" w:cs="Arial"/>
        </w:rPr>
        <w:t>Accuhal</w:t>
      </w:r>
      <w:r>
        <w:rPr>
          <w:rFonts w:eastAsia="Arial Unicode MS" w:cs="Arial"/>
        </w:rPr>
        <w:t>er</w:t>
      </w:r>
      <w:proofErr w:type="spellEnd"/>
      <w:r>
        <w:rPr>
          <w:rFonts w:eastAsia="Arial Unicode MS" w:cs="Arial"/>
        </w:rPr>
        <w:t xml:space="preserve"> DPI 100/50µg</w:t>
      </w:r>
      <w:r w:rsidRPr="00306EC2">
        <w:rPr>
          <w:rFonts w:eastAsia="Arial Unicode MS" w:cs="Arial"/>
        </w:rPr>
        <w:t>, has enabled analysis of the possible differences in the state of mixed agglomerates within the aeroso</w:t>
      </w:r>
      <w:r>
        <w:rPr>
          <w:rFonts w:eastAsia="Arial Unicode MS" w:cs="Arial"/>
        </w:rPr>
        <w:t>lized dose. As shown in Figur</w:t>
      </w:r>
      <w:r w:rsidR="00E562CE">
        <w:rPr>
          <w:rFonts w:eastAsia="Arial Unicode MS" w:cs="Arial"/>
        </w:rPr>
        <w:t>e 3</w:t>
      </w:r>
      <w:r w:rsidRPr="00306EC2">
        <w:rPr>
          <w:rFonts w:eastAsia="Arial Unicode MS" w:cs="Arial"/>
        </w:rPr>
        <w:t>, the percentage of stand-alone FP</w:t>
      </w:r>
      <w:r w:rsidR="00E562CE">
        <w:rPr>
          <w:rFonts w:eastAsia="Arial Unicode MS" w:cs="Arial"/>
        </w:rPr>
        <w:t xml:space="preserve"> was greater in </w:t>
      </w:r>
      <w:proofErr w:type="spellStart"/>
      <w:r w:rsidR="00E562CE">
        <w:rPr>
          <w:rFonts w:eastAsia="Arial Unicode MS" w:cs="Arial"/>
        </w:rPr>
        <w:t>Seretide</w:t>
      </w:r>
      <w:proofErr w:type="spellEnd"/>
      <w:r w:rsidR="00E562CE">
        <w:rPr>
          <w:rFonts w:eastAsia="Arial Unicode MS" w:cs="Arial"/>
        </w:rPr>
        <w:t xml:space="preserve"> than Advair. Moreover, the percentage of</w:t>
      </w:r>
      <w:r w:rsidRPr="00306EC2">
        <w:rPr>
          <w:rFonts w:eastAsia="Arial Unicode MS" w:cs="Arial"/>
        </w:rPr>
        <w:t xml:space="preserve"> particles </w:t>
      </w:r>
      <w:r w:rsidR="00E562CE">
        <w:rPr>
          <w:rFonts w:eastAsia="Arial Unicode MS" w:cs="Arial"/>
        </w:rPr>
        <w:t>of</w:t>
      </w:r>
      <w:r w:rsidRPr="00306EC2">
        <w:rPr>
          <w:rFonts w:eastAsia="Arial Unicode MS" w:cs="Arial"/>
        </w:rPr>
        <w:t xml:space="preserve"> FP agglomerated with </w:t>
      </w:r>
      <w:r>
        <w:rPr>
          <w:rFonts w:eastAsia="Arial Unicode MS" w:cs="Arial"/>
        </w:rPr>
        <w:t xml:space="preserve">SX and/or </w:t>
      </w:r>
      <w:r w:rsidR="00E562CE">
        <w:rPr>
          <w:rFonts w:eastAsia="Arial Unicode MS" w:cs="Arial"/>
        </w:rPr>
        <w:t xml:space="preserve">lactose was greater in Advair than </w:t>
      </w:r>
      <w:proofErr w:type="spellStart"/>
      <w:r w:rsidR="00E562CE">
        <w:rPr>
          <w:rFonts w:eastAsia="Arial Unicode MS" w:cs="Arial"/>
        </w:rPr>
        <w:t>Seretide</w:t>
      </w:r>
      <w:proofErr w:type="spellEnd"/>
      <w:r w:rsidR="00E562CE">
        <w:rPr>
          <w:rFonts w:eastAsia="Arial Unicode MS" w:cs="Arial"/>
        </w:rPr>
        <w:t xml:space="preserve">. Hence, the faster rate of dissolution of FP in Advair maybe due to </w:t>
      </w:r>
      <w:proofErr w:type="gramStart"/>
      <w:r w:rsidR="00E562CE">
        <w:rPr>
          <w:rFonts w:eastAsia="Arial Unicode MS" w:cs="Arial"/>
        </w:rPr>
        <w:t>the a</w:t>
      </w:r>
      <w:proofErr w:type="gramEnd"/>
      <w:r w:rsidR="00E562CE">
        <w:rPr>
          <w:rFonts w:eastAsia="Arial Unicode MS" w:cs="Arial"/>
        </w:rPr>
        <w:t xml:space="preserve"> greater number of FP particles agglomerated with particles of lactose and salmeterol, which may aid improved wettability of the FP and thereby increase the dissolution of FP.  These data therefore, highlight </w:t>
      </w:r>
      <w:r w:rsidRPr="00306EC2">
        <w:rPr>
          <w:rFonts w:eastAsia="Arial Unicode MS" w:cs="Arial"/>
        </w:rPr>
        <w:t>that recent developm</w:t>
      </w:r>
      <w:r>
        <w:rPr>
          <w:rFonts w:eastAsia="Arial Unicode MS" w:cs="Arial"/>
        </w:rPr>
        <w:t>ents in Raman spectroscopy may offer a quantitative</w:t>
      </w:r>
      <w:r w:rsidRPr="00306EC2">
        <w:rPr>
          <w:rFonts w:eastAsia="Arial Unicode MS" w:cs="Arial"/>
        </w:rPr>
        <w:t xml:space="preserve"> insight into the structural </w:t>
      </w:r>
      <w:r>
        <w:rPr>
          <w:rFonts w:eastAsia="Arial Unicode MS" w:cs="Arial"/>
        </w:rPr>
        <w:t>comparison</w:t>
      </w:r>
      <w:r w:rsidRPr="00306EC2">
        <w:rPr>
          <w:rFonts w:eastAsia="Arial Unicode MS" w:cs="Arial"/>
        </w:rPr>
        <w:t xml:space="preserve"> between DPI formulations. </w:t>
      </w:r>
    </w:p>
    <w:p w14:paraId="7FCB9DC6" w14:textId="720005F9" w:rsidR="00E16AC0" w:rsidRPr="00306EC2" w:rsidRDefault="00E16AC0" w:rsidP="00E16AC0">
      <w:pPr>
        <w:widowControl w:val="0"/>
        <w:autoSpaceDE w:val="0"/>
        <w:autoSpaceDN w:val="0"/>
        <w:adjustRightInd w:val="0"/>
        <w:spacing w:after="240"/>
        <w:jc w:val="center"/>
        <w:rPr>
          <w:rFonts w:eastAsia="Arial Unicode MS" w:cs="Arial"/>
        </w:rPr>
      </w:pPr>
      <w:r w:rsidRPr="00306EC2">
        <w:rPr>
          <w:rFonts w:eastAsia="Arial Unicode MS" w:cs="Arial"/>
          <w:noProof/>
        </w:rPr>
        <w:drawing>
          <wp:inline distT="0" distB="0" distL="0" distR="0" wp14:anchorId="1BB68CF7" wp14:editId="49EB2453">
            <wp:extent cx="3848626" cy="2506904"/>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878190" cy="2526161"/>
                    </a:xfrm>
                    <a:prstGeom prst="rect">
                      <a:avLst/>
                    </a:prstGeom>
                    <a:noFill/>
                    <a:ln>
                      <a:noFill/>
                    </a:ln>
                  </pic:spPr>
                </pic:pic>
              </a:graphicData>
            </a:graphic>
          </wp:inline>
        </w:drawing>
      </w:r>
    </w:p>
    <w:p w14:paraId="4170B402" w14:textId="13EFBA42" w:rsidR="00E16AC0" w:rsidRPr="00E16AC0" w:rsidRDefault="00FE2FCE" w:rsidP="00E16AC0">
      <w:pPr>
        <w:widowControl w:val="0"/>
        <w:autoSpaceDE w:val="0"/>
        <w:autoSpaceDN w:val="0"/>
        <w:adjustRightInd w:val="0"/>
        <w:spacing w:after="240"/>
        <w:jc w:val="center"/>
        <w:rPr>
          <w:rFonts w:eastAsia="Arial Unicode MS" w:cs="Arial"/>
          <w:b/>
          <w:sz w:val="16"/>
          <w:szCs w:val="16"/>
        </w:rPr>
      </w:pPr>
      <w:r>
        <w:rPr>
          <w:rFonts w:eastAsia="Arial Unicode MS" w:cs="Arial"/>
          <w:b/>
          <w:sz w:val="16"/>
          <w:szCs w:val="16"/>
        </w:rPr>
        <w:t>Figure 3</w:t>
      </w:r>
      <w:r w:rsidR="00E16AC0" w:rsidRPr="00E16AC0">
        <w:rPr>
          <w:rFonts w:eastAsia="Arial Unicode MS" w:cs="Arial"/>
          <w:b/>
          <w:sz w:val="16"/>
          <w:szCs w:val="16"/>
        </w:rPr>
        <w:t>. Structural analysis of the state of agglomeration as a percentage of the total number of fluticasone propionate particles as free standing or agglomerated with lactose, SX and SX-lactose.</w:t>
      </w:r>
    </w:p>
    <w:p w14:paraId="0A5F7A10" w14:textId="24C3E0C4" w:rsidR="00453B6B" w:rsidRDefault="00453B6B" w:rsidP="00453B6B">
      <w:pPr>
        <w:widowControl w:val="0"/>
        <w:autoSpaceDE w:val="0"/>
        <w:autoSpaceDN w:val="0"/>
        <w:adjustRightInd w:val="0"/>
        <w:spacing w:after="240"/>
        <w:rPr>
          <w:rFonts w:eastAsia="Arial Unicode MS" w:cs="Arial"/>
        </w:rPr>
      </w:pPr>
      <w:r w:rsidRPr="00306EC2">
        <w:rPr>
          <w:rFonts w:eastAsia="Arial Unicode MS" w:cs="Arial"/>
        </w:rPr>
        <w:t xml:space="preserve">These data have supported the possible role that in vitro dissolution testing of </w:t>
      </w:r>
      <w:r w:rsidR="008744C6">
        <w:rPr>
          <w:rFonts w:eastAsia="Arial Unicode MS" w:cs="Arial"/>
        </w:rPr>
        <w:t>the</w:t>
      </w:r>
      <w:r w:rsidRPr="00306EC2">
        <w:rPr>
          <w:rFonts w:eastAsia="Arial Unicode MS" w:cs="Arial"/>
        </w:rPr>
        <w:t xml:space="preserve"> aerosolized forms of sparingly soluble respirable compounds may be a suitable orthogonal based technique for investigating the integrated effect of variability in critical material attributes and critical processing conditions on formulation microstructure. Based on sound scientific principles, these performance tests have been shown to be reproducible and reliable. They may also provide assurance of Q3 equivalence between test and reference as well as for RLD DPI products that have undergone post-approval raw material changes, relocation or change in manufacturing site and even the possibility of detect</w:t>
      </w:r>
      <w:r>
        <w:rPr>
          <w:rFonts w:eastAsia="Arial Unicode MS" w:cs="Arial"/>
        </w:rPr>
        <w:t>ing</w:t>
      </w:r>
      <w:r w:rsidRPr="00306EC2">
        <w:rPr>
          <w:rFonts w:eastAsia="Arial Unicode MS" w:cs="Arial"/>
        </w:rPr>
        <w:t xml:space="preserve"> variability between batches.</w:t>
      </w:r>
    </w:p>
    <w:p w14:paraId="7F19EA95" w14:textId="7D8AE304" w:rsidR="0095324F" w:rsidRDefault="00F315B1" w:rsidP="0095324F">
      <w:pPr>
        <w:pStyle w:val="DDLHeading1"/>
        <w:rPr>
          <w:b w:val="0"/>
        </w:rPr>
      </w:pPr>
      <w:r>
        <w:lastRenderedPageBreak/>
        <w:t>Conclusions</w:t>
      </w:r>
    </w:p>
    <w:p w14:paraId="41DC4E47" w14:textId="4C1BC445" w:rsidR="006B419D" w:rsidRPr="005061A4" w:rsidRDefault="006B419D" w:rsidP="006B419D">
      <w:pPr>
        <w:widowControl w:val="0"/>
        <w:autoSpaceDE w:val="0"/>
        <w:autoSpaceDN w:val="0"/>
        <w:adjustRightInd w:val="0"/>
        <w:spacing w:after="240"/>
        <w:rPr>
          <w:rFonts w:eastAsia="Arial Unicode MS" w:cs="Arial"/>
        </w:rPr>
      </w:pPr>
      <w:r>
        <w:rPr>
          <w:rFonts w:eastAsia="Arial Unicode MS" w:cs="Arial"/>
        </w:rPr>
        <w:t xml:space="preserve">We have shown that the dissolution kinetics of FP are slower in </w:t>
      </w:r>
      <w:proofErr w:type="spellStart"/>
      <w:r>
        <w:rPr>
          <w:rFonts w:eastAsia="Arial Unicode MS" w:cs="Arial"/>
        </w:rPr>
        <w:t>Seretide</w:t>
      </w:r>
      <w:proofErr w:type="spellEnd"/>
      <w:r>
        <w:rPr>
          <w:rFonts w:eastAsia="Arial Unicode MS" w:cs="Arial"/>
        </w:rPr>
        <w:t xml:space="preserve"> than in the Advair DPI drug product. Moreover, through the application of MDRS we have been able to link these differences to the extent of agglomeration of the FP to other components of the formulation, which may help to increase the materials dissolution kinetics. Hence, our</w:t>
      </w:r>
      <w:r w:rsidRPr="005061A4">
        <w:rPr>
          <w:rFonts w:eastAsia="Arial Unicode MS" w:cs="Arial"/>
        </w:rPr>
        <w:t xml:space="preserve"> proposed approach </w:t>
      </w:r>
      <w:r>
        <w:rPr>
          <w:rFonts w:eastAsia="Arial Unicode MS" w:cs="Arial"/>
        </w:rPr>
        <w:t>of</w:t>
      </w:r>
      <w:r w:rsidRPr="005061A4">
        <w:rPr>
          <w:rFonts w:eastAsia="Arial Unicode MS" w:cs="Arial"/>
        </w:rPr>
        <w:t xml:space="preserve"> </w:t>
      </w:r>
      <w:r>
        <w:rPr>
          <w:rFonts w:eastAsia="Arial Unicode MS" w:cs="Arial"/>
        </w:rPr>
        <w:t>combining</w:t>
      </w:r>
      <w:r w:rsidRPr="005061A4">
        <w:rPr>
          <w:rFonts w:eastAsia="Arial Unicode MS" w:cs="Arial"/>
        </w:rPr>
        <w:t xml:space="preserve"> orthogonal techniques </w:t>
      </w:r>
      <w:r>
        <w:rPr>
          <w:rFonts w:eastAsia="Arial Unicode MS" w:cs="Arial"/>
        </w:rPr>
        <w:t>such as</w:t>
      </w:r>
      <w:r w:rsidRPr="005061A4">
        <w:rPr>
          <w:rFonts w:eastAsia="Arial Unicode MS" w:cs="Arial"/>
        </w:rPr>
        <w:t xml:space="preserve"> </w:t>
      </w:r>
      <w:r>
        <w:rPr>
          <w:rFonts w:eastAsia="Arial Unicode MS" w:cs="Arial"/>
        </w:rPr>
        <w:t>MDRS and</w:t>
      </w:r>
      <w:r w:rsidRPr="005061A4">
        <w:rPr>
          <w:rFonts w:eastAsia="Arial Unicode MS" w:cs="Arial"/>
        </w:rPr>
        <w:t xml:space="preserve"> </w:t>
      </w:r>
      <w:proofErr w:type="spellStart"/>
      <w:r w:rsidRPr="005061A4">
        <w:rPr>
          <w:rFonts w:eastAsia="Arial Unicode MS" w:cs="Arial"/>
        </w:rPr>
        <w:t>UniDose</w:t>
      </w:r>
      <w:proofErr w:type="spellEnd"/>
      <w:r w:rsidRPr="005061A4">
        <w:rPr>
          <w:rFonts w:eastAsia="Arial Unicode MS" w:cs="Arial"/>
        </w:rPr>
        <w:t>-enabled dissolution testing of DPI formulations</w:t>
      </w:r>
      <w:r>
        <w:rPr>
          <w:rFonts w:eastAsia="Arial Unicode MS" w:cs="Arial"/>
        </w:rPr>
        <w:t xml:space="preserve"> may help to de-convolute the microstructure of the aerosolised dose, which may </w:t>
      </w:r>
      <w:r w:rsidRPr="005061A4">
        <w:rPr>
          <w:rFonts w:eastAsia="Arial Unicode MS" w:cs="Arial"/>
        </w:rPr>
        <w:t>provide a systematic approach to quantify and compare the microstructure of DPI formulation systems.</w:t>
      </w:r>
      <w:r>
        <w:rPr>
          <w:rFonts w:eastAsia="Arial Unicode MS" w:cs="Arial"/>
        </w:rPr>
        <w:t xml:space="preserve"> This may therefore enable the </w:t>
      </w:r>
      <w:r w:rsidRPr="005061A4">
        <w:rPr>
          <w:rFonts w:eastAsia="Arial Unicode MS" w:cs="Arial"/>
        </w:rPr>
        <w:t>demonstration of Q3-equivalence of DPI formulations</w:t>
      </w:r>
      <w:r>
        <w:rPr>
          <w:rFonts w:eastAsia="Arial Unicode MS" w:cs="Arial"/>
        </w:rPr>
        <w:t>.</w:t>
      </w:r>
    </w:p>
    <w:p w14:paraId="026B9273" w14:textId="77777777" w:rsidR="007D307A" w:rsidRPr="00BD68AD" w:rsidRDefault="007D307A" w:rsidP="00D156FE">
      <w:pPr>
        <w:pStyle w:val="DDLHeading1"/>
      </w:pPr>
      <w:r w:rsidRPr="00BD68AD">
        <w:t>References</w:t>
      </w:r>
    </w:p>
    <w:p w14:paraId="333DE5CB" w14:textId="0EBD45DB" w:rsidR="00EA10BB" w:rsidRPr="00B71695" w:rsidRDefault="00EA10BB" w:rsidP="00EA10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227" w:hanging="227"/>
        <w:rPr>
          <w:rFonts w:cs="Arial"/>
          <w:sz w:val="16"/>
          <w:szCs w:val="16"/>
          <w:lang w:val="en-US"/>
        </w:rPr>
      </w:pPr>
      <w:r w:rsidRPr="00B71695">
        <w:rPr>
          <w:rFonts w:cs="Arial"/>
          <w:sz w:val="16"/>
          <w:szCs w:val="16"/>
          <w:lang w:val="en-US"/>
        </w:rPr>
        <w:t xml:space="preserve">1. </w:t>
      </w:r>
      <w:r w:rsidR="000A7F67">
        <w:rPr>
          <w:rFonts w:cs="Arial"/>
          <w:sz w:val="16"/>
          <w:szCs w:val="16"/>
          <w:lang w:val="en-US"/>
        </w:rPr>
        <w:t>Lee SL</w:t>
      </w:r>
      <w:r w:rsidRPr="00B71695">
        <w:rPr>
          <w:rFonts w:cs="Arial"/>
          <w:sz w:val="16"/>
          <w:szCs w:val="16"/>
          <w:lang w:val="en-US"/>
        </w:rPr>
        <w:t xml:space="preserve">, </w:t>
      </w:r>
      <w:r w:rsidR="00443370">
        <w:rPr>
          <w:rFonts w:cs="Arial"/>
          <w:sz w:val="16"/>
          <w:szCs w:val="16"/>
          <w:lang w:val="en-US"/>
        </w:rPr>
        <w:t>Raw A</w:t>
      </w:r>
      <w:r w:rsidRPr="00B71695">
        <w:rPr>
          <w:rFonts w:cs="Arial"/>
          <w:sz w:val="16"/>
          <w:szCs w:val="16"/>
          <w:lang w:val="en-US"/>
        </w:rPr>
        <w:t xml:space="preserve">, </w:t>
      </w:r>
      <w:r w:rsidR="000A7F67">
        <w:rPr>
          <w:rFonts w:cs="Arial"/>
          <w:sz w:val="16"/>
          <w:szCs w:val="16"/>
          <w:lang w:val="en-US"/>
        </w:rPr>
        <w:t>Adams</w:t>
      </w:r>
      <w:r w:rsidR="00443370">
        <w:rPr>
          <w:rFonts w:cs="Arial"/>
          <w:sz w:val="16"/>
          <w:szCs w:val="16"/>
          <w:lang w:val="en-US"/>
        </w:rPr>
        <w:t xml:space="preserve"> </w:t>
      </w:r>
      <w:r w:rsidR="000A7F67">
        <w:rPr>
          <w:rFonts w:cs="Arial"/>
          <w:sz w:val="16"/>
          <w:szCs w:val="16"/>
          <w:lang w:val="en-US"/>
        </w:rPr>
        <w:t>WP</w:t>
      </w:r>
      <w:r w:rsidRPr="00B71695">
        <w:rPr>
          <w:rFonts w:cs="Arial"/>
          <w:sz w:val="16"/>
          <w:szCs w:val="16"/>
          <w:lang w:val="en-US"/>
        </w:rPr>
        <w:t xml:space="preserve">, </w:t>
      </w:r>
      <w:r w:rsidR="000A7F67">
        <w:rPr>
          <w:rFonts w:cs="Arial"/>
          <w:sz w:val="16"/>
          <w:szCs w:val="16"/>
          <w:lang w:val="en-US"/>
        </w:rPr>
        <w:t>Bing L-V, Conner DP, Chowdhury, BA, Lawrence Y</w:t>
      </w:r>
      <w:r w:rsidRPr="00B71695">
        <w:rPr>
          <w:rFonts w:cs="Arial"/>
          <w:sz w:val="16"/>
          <w:szCs w:val="16"/>
          <w:lang w:val="en-US"/>
        </w:rPr>
        <w:t xml:space="preserve">: </w:t>
      </w:r>
      <w:r w:rsidR="000A7F67" w:rsidRPr="000A7F67">
        <w:rPr>
          <w:rFonts w:cs="Arial"/>
          <w:bCs/>
          <w:sz w:val="16"/>
          <w:szCs w:val="16"/>
          <w:lang w:val="en-US"/>
        </w:rPr>
        <w:t>In Vitro Considerations to Support Bioequivalence of Locally Acting Drugs in Dry Powder Inhalers for Lung Diseases</w:t>
      </w:r>
      <w:r w:rsidRPr="00B71695">
        <w:rPr>
          <w:rFonts w:cs="Arial"/>
          <w:sz w:val="16"/>
          <w:szCs w:val="16"/>
          <w:lang w:val="en-US"/>
        </w:rPr>
        <w:t xml:space="preserve">. </w:t>
      </w:r>
      <w:r w:rsidRPr="00B71695">
        <w:rPr>
          <w:rFonts w:cs="Arial"/>
          <w:i/>
          <w:iCs/>
          <w:sz w:val="16"/>
          <w:szCs w:val="16"/>
          <w:lang w:val="en-US"/>
        </w:rPr>
        <w:t>AAPS J</w:t>
      </w:r>
      <w:r w:rsidR="000A7F67">
        <w:rPr>
          <w:rFonts w:cs="Arial"/>
          <w:sz w:val="16"/>
          <w:szCs w:val="16"/>
          <w:lang w:val="en-US"/>
        </w:rPr>
        <w:t xml:space="preserve"> 2009</w:t>
      </w:r>
      <w:r w:rsidRPr="00B71695">
        <w:rPr>
          <w:rFonts w:cs="Arial"/>
          <w:sz w:val="16"/>
          <w:szCs w:val="16"/>
          <w:lang w:val="en-US"/>
        </w:rPr>
        <w:t xml:space="preserve">, </w:t>
      </w:r>
      <w:r w:rsidR="000A7F67">
        <w:rPr>
          <w:rFonts w:cs="Arial"/>
          <w:bCs/>
          <w:sz w:val="16"/>
          <w:szCs w:val="16"/>
          <w:lang w:val="en-US"/>
        </w:rPr>
        <w:t>11</w:t>
      </w:r>
      <w:r w:rsidR="00443370">
        <w:rPr>
          <w:rFonts w:cs="Arial"/>
          <w:sz w:val="16"/>
          <w:szCs w:val="16"/>
          <w:lang w:val="en-US"/>
        </w:rPr>
        <w:t>:41</w:t>
      </w:r>
      <w:r w:rsidR="000A7F67">
        <w:rPr>
          <w:rFonts w:cs="Arial"/>
          <w:sz w:val="16"/>
          <w:szCs w:val="16"/>
          <w:lang w:val="en-US"/>
        </w:rPr>
        <w:t>4–423</w:t>
      </w:r>
      <w:r w:rsidRPr="00B71695">
        <w:rPr>
          <w:rFonts w:cs="Arial"/>
          <w:sz w:val="16"/>
          <w:szCs w:val="16"/>
          <w:lang w:val="en-US"/>
        </w:rPr>
        <w:t>.</w:t>
      </w:r>
    </w:p>
    <w:p w14:paraId="68A56A5F" w14:textId="0671627B" w:rsidR="00EA10BB" w:rsidRPr="00B71695" w:rsidRDefault="00EA10BB" w:rsidP="00EA10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227" w:hanging="227"/>
        <w:rPr>
          <w:rFonts w:cs="Arial"/>
          <w:sz w:val="16"/>
          <w:szCs w:val="16"/>
          <w:lang w:val="en-US"/>
        </w:rPr>
      </w:pPr>
      <w:r w:rsidRPr="00B71695">
        <w:rPr>
          <w:rFonts w:cs="Arial"/>
          <w:sz w:val="16"/>
          <w:szCs w:val="16"/>
          <w:lang w:val="en-US"/>
        </w:rPr>
        <w:t xml:space="preserve">2. </w:t>
      </w:r>
      <w:r w:rsidR="00443370">
        <w:rPr>
          <w:rFonts w:cs="Arial"/>
          <w:sz w:val="16"/>
          <w:szCs w:val="16"/>
          <w:lang w:val="en-US"/>
        </w:rPr>
        <w:t>Chang</w:t>
      </w:r>
      <w:r w:rsidR="00443370" w:rsidRPr="00B71695">
        <w:rPr>
          <w:rFonts w:cs="Arial"/>
          <w:sz w:val="16"/>
          <w:szCs w:val="16"/>
          <w:lang w:val="en-US"/>
        </w:rPr>
        <w:t xml:space="preserve"> </w:t>
      </w:r>
      <w:r w:rsidR="00443370">
        <w:rPr>
          <w:rFonts w:cs="Arial"/>
          <w:sz w:val="16"/>
          <w:szCs w:val="16"/>
          <w:lang w:val="en-US"/>
        </w:rPr>
        <w:t>R-K</w:t>
      </w:r>
      <w:r w:rsidR="00443370" w:rsidRPr="00B71695">
        <w:rPr>
          <w:rFonts w:cs="Arial"/>
          <w:sz w:val="16"/>
          <w:szCs w:val="16"/>
          <w:lang w:val="en-US"/>
        </w:rPr>
        <w:t xml:space="preserve">, </w:t>
      </w:r>
      <w:r w:rsidR="00443370">
        <w:rPr>
          <w:rFonts w:cs="Arial"/>
          <w:sz w:val="16"/>
          <w:szCs w:val="16"/>
          <w:lang w:val="en-US"/>
        </w:rPr>
        <w:t>Raw A</w:t>
      </w:r>
      <w:r w:rsidR="00443370" w:rsidRPr="00B71695">
        <w:rPr>
          <w:rFonts w:cs="Arial"/>
          <w:sz w:val="16"/>
          <w:szCs w:val="16"/>
          <w:lang w:val="en-US"/>
        </w:rPr>
        <w:t xml:space="preserve">, </w:t>
      </w:r>
      <w:proofErr w:type="spellStart"/>
      <w:r w:rsidR="00443370">
        <w:rPr>
          <w:rFonts w:cs="Arial"/>
          <w:sz w:val="16"/>
          <w:szCs w:val="16"/>
          <w:lang w:val="en-US"/>
        </w:rPr>
        <w:t>Lionberger</w:t>
      </w:r>
      <w:proofErr w:type="spellEnd"/>
      <w:r w:rsidR="00443370">
        <w:rPr>
          <w:rFonts w:cs="Arial"/>
          <w:sz w:val="16"/>
          <w:szCs w:val="16"/>
          <w:lang w:val="en-US"/>
        </w:rPr>
        <w:t xml:space="preserve"> R</w:t>
      </w:r>
      <w:r w:rsidR="00443370" w:rsidRPr="00B71695">
        <w:rPr>
          <w:rFonts w:cs="Arial"/>
          <w:sz w:val="16"/>
          <w:szCs w:val="16"/>
          <w:lang w:val="en-US"/>
        </w:rPr>
        <w:t xml:space="preserve">, </w:t>
      </w:r>
      <w:r w:rsidR="00443370">
        <w:rPr>
          <w:rFonts w:cs="Arial"/>
          <w:sz w:val="16"/>
          <w:szCs w:val="16"/>
          <w:lang w:val="en-US"/>
        </w:rPr>
        <w:t>Lawrence Y</w:t>
      </w:r>
      <w:r w:rsidR="00443370" w:rsidRPr="00B71695">
        <w:rPr>
          <w:rFonts w:cs="Arial"/>
          <w:sz w:val="16"/>
          <w:szCs w:val="16"/>
          <w:lang w:val="en-US"/>
        </w:rPr>
        <w:t xml:space="preserve">: </w:t>
      </w:r>
      <w:r w:rsidR="00443370" w:rsidRPr="00443370">
        <w:rPr>
          <w:rFonts w:cs="Arial"/>
          <w:bCs/>
          <w:sz w:val="16"/>
          <w:szCs w:val="16"/>
          <w:lang w:val="en-US"/>
        </w:rPr>
        <w:t>Generic Development of Topical Dermatologic Products: Formulation Development, Process Development, and Testing of Topical Dermatologic Products</w:t>
      </w:r>
      <w:r w:rsidR="00443370" w:rsidRPr="00B71695">
        <w:rPr>
          <w:rFonts w:cs="Arial"/>
          <w:sz w:val="16"/>
          <w:szCs w:val="16"/>
          <w:lang w:val="en-US"/>
        </w:rPr>
        <w:t xml:space="preserve">. </w:t>
      </w:r>
      <w:r w:rsidR="00443370" w:rsidRPr="00B71695">
        <w:rPr>
          <w:rFonts w:cs="Arial"/>
          <w:i/>
          <w:iCs/>
          <w:sz w:val="16"/>
          <w:szCs w:val="16"/>
          <w:lang w:val="en-US"/>
        </w:rPr>
        <w:t>AAPS J</w:t>
      </w:r>
      <w:r w:rsidR="00443370" w:rsidRPr="00B71695">
        <w:rPr>
          <w:rFonts w:cs="Arial"/>
          <w:sz w:val="16"/>
          <w:szCs w:val="16"/>
          <w:lang w:val="en-US"/>
        </w:rPr>
        <w:t xml:space="preserve"> 2013, </w:t>
      </w:r>
      <w:r w:rsidR="00443370" w:rsidRPr="00B71695">
        <w:rPr>
          <w:rFonts w:cs="Arial"/>
          <w:bCs/>
          <w:sz w:val="16"/>
          <w:szCs w:val="16"/>
          <w:lang w:val="en-US"/>
        </w:rPr>
        <w:t>15</w:t>
      </w:r>
      <w:r w:rsidR="00443370">
        <w:rPr>
          <w:rFonts w:cs="Arial"/>
          <w:sz w:val="16"/>
          <w:szCs w:val="16"/>
          <w:lang w:val="en-US"/>
        </w:rPr>
        <w:t>:41–51</w:t>
      </w:r>
      <w:r w:rsidR="00443370" w:rsidRPr="00B71695">
        <w:rPr>
          <w:rFonts w:cs="Arial"/>
          <w:sz w:val="16"/>
          <w:szCs w:val="16"/>
          <w:lang w:val="en-US"/>
        </w:rPr>
        <w:t>.</w:t>
      </w:r>
    </w:p>
    <w:p w14:paraId="2CEE9F3F" w14:textId="056FA45D" w:rsidR="00EA10BB" w:rsidRPr="00B71695" w:rsidRDefault="00EA10BB" w:rsidP="00EA10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227" w:hanging="227"/>
        <w:rPr>
          <w:rFonts w:cs="Arial"/>
          <w:sz w:val="16"/>
          <w:szCs w:val="16"/>
          <w:lang w:val="en-US"/>
        </w:rPr>
      </w:pPr>
      <w:r w:rsidRPr="00B71695">
        <w:rPr>
          <w:rFonts w:cs="Arial"/>
          <w:sz w:val="16"/>
          <w:szCs w:val="16"/>
          <w:lang w:val="en-US"/>
        </w:rPr>
        <w:t>3.</w:t>
      </w:r>
      <w:r>
        <w:rPr>
          <w:rFonts w:cs="Arial"/>
          <w:sz w:val="16"/>
          <w:szCs w:val="16"/>
          <w:lang w:val="en-US"/>
        </w:rPr>
        <w:t xml:space="preserve"> Shur J, The development of predictive dissolution methods for orally inhaled drug products. Available at http://ipacrs.org/assets/uploads/outputs/02_UoB_JS_Final_HOv2.pdf</w:t>
      </w:r>
      <w:r w:rsidRPr="00B71695">
        <w:rPr>
          <w:rFonts w:cs="Arial"/>
          <w:sz w:val="16"/>
          <w:szCs w:val="16"/>
          <w:lang w:val="en-US"/>
        </w:rPr>
        <w:t>.</w:t>
      </w:r>
    </w:p>
    <w:p w14:paraId="41F40516" w14:textId="0E2D99C9" w:rsidR="00A515A9" w:rsidRPr="001C1A34" w:rsidRDefault="00A515A9" w:rsidP="000A7F67">
      <w:pPr>
        <w:pStyle w:val="DDLBodyText"/>
      </w:pPr>
    </w:p>
    <w:sectPr w:rsidR="00A515A9" w:rsidRPr="001C1A34" w:rsidSect="00B719D1">
      <w:headerReference w:type="even" r:id="rId11"/>
      <w:headerReference w:type="default" r:id="rId12"/>
      <w:endnotePr>
        <w:numFmt w:val="decimal"/>
      </w:endnotePr>
      <w:pgSz w:w="11907" w:h="16839" w:code="9"/>
      <w:pgMar w:top="1304" w:right="1304" w:bottom="1531" w:left="1531" w:header="720" w:footer="720" w:gutter="0"/>
      <w:cols w:space="720"/>
      <w:docGrid w:linePitch="24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A5A79B" w14:textId="77777777" w:rsidR="00D01092" w:rsidRDefault="00D01092" w:rsidP="00A515A9">
      <w:pPr>
        <w:spacing w:after="0"/>
      </w:pPr>
      <w:r>
        <w:separator/>
      </w:r>
    </w:p>
  </w:endnote>
  <w:endnote w:type="continuationSeparator" w:id="0">
    <w:p w14:paraId="0DAF3B6E" w14:textId="77777777" w:rsidR="00D01092" w:rsidRDefault="00D01092" w:rsidP="00A515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w:altName w:val="Calibri"/>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swiss"/>
    <w:pitch w:val="variable"/>
    <w:sig w:usb0="F7FFAFFF" w:usb1="E9DFFFFF" w:usb2="0000003F" w:usb3="00000000" w:csb0="003F01FF" w:csb1="00000000"/>
  </w:font>
  <w:font w:name="MS Mincho">
    <w:panose1 w:val="02020609040205080304"/>
    <w:charset w:val="80"/>
    <w:family w:val="roman"/>
    <w:pitch w:val="fixed"/>
    <w:sig w:usb0="E00002FF" w:usb1="6AC7FDFB" w:usb2="08000012" w:usb3="00000000" w:csb0="0002009F" w:csb1="00000000"/>
  </w:font>
  <w:font w:name="Times">
    <w:panose1 w:val="020005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22AF06" w14:textId="77777777" w:rsidR="00D01092" w:rsidRDefault="00D01092" w:rsidP="00A515A9">
      <w:pPr>
        <w:spacing w:after="0"/>
      </w:pPr>
      <w:r>
        <w:separator/>
      </w:r>
    </w:p>
  </w:footnote>
  <w:footnote w:type="continuationSeparator" w:id="0">
    <w:p w14:paraId="485B9AB1" w14:textId="77777777" w:rsidR="00D01092" w:rsidRDefault="00D01092" w:rsidP="00A515A9">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25728" w14:textId="57D877D8" w:rsidR="00C126B9" w:rsidRPr="00881895" w:rsidRDefault="009A52B9" w:rsidP="00964A86">
    <w:pPr>
      <w:pStyle w:val="Header"/>
      <w:pBdr>
        <w:bottom w:val="single" w:sz="6" w:space="1" w:color="auto"/>
      </w:pBdr>
      <w:jc w:val="left"/>
      <w:rPr>
        <w:i/>
      </w:rPr>
    </w:pPr>
    <w:r w:rsidRPr="00881895">
      <w:rPr>
        <w:i/>
      </w:rPr>
      <w:t xml:space="preserve">Drug Delivery to the Lungs </w:t>
    </w:r>
    <w:r w:rsidR="002E77AE">
      <w:rPr>
        <w:i/>
      </w:rPr>
      <w:t>(DDL2017)</w:t>
    </w:r>
    <w:r w:rsidR="00964A86" w:rsidRPr="00881895">
      <w:rPr>
        <w:i/>
      </w:rPr>
      <w:t>, 201</w:t>
    </w:r>
    <w:r w:rsidR="002E77AE">
      <w:rPr>
        <w:i/>
      </w:rPr>
      <w:t>7</w:t>
    </w:r>
    <w:r w:rsidR="00964A86" w:rsidRPr="00881895">
      <w:rPr>
        <w:i/>
      </w:rPr>
      <w:t xml:space="preserve"> </w:t>
    </w:r>
    <w:r w:rsidRPr="00881895">
      <w:rPr>
        <w:i/>
      </w:rPr>
      <w:t xml:space="preserve">- </w:t>
    </w:r>
    <w:r w:rsidR="00711476">
      <w:rPr>
        <w:i/>
      </w:rPr>
      <w:t>Investigating</w:t>
    </w:r>
    <w:r w:rsidR="00990C1E">
      <w:fldChar w:fldCharType="begin"/>
    </w:r>
    <w:r w:rsidR="00990C1E">
      <w:instrText xml:space="preserve"> REF Title \h  \* MERGEFORMAT </w:instrText>
    </w:r>
    <w:r w:rsidR="00990C1E">
      <w:fldChar w:fldCharType="separate"/>
    </w:r>
    <w:sdt>
      <w:sdtPr>
        <w:rPr>
          <w:i/>
        </w:rPr>
        <w:alias w:val="Title"/>
        <w:tag w:val="Title"/>
        <w:id w:val="-712966800"/>
        <w:lock w:val="sdtLocked"/>
        <w:placeholder>
          <w:docPart w:val="B046F90048CB4F0380F99889E7477724"/>
        </w:placeholder>
      </w:sdtPr>
      <w:sdtEndPr>
        <w:rPr>
          <w:rStyle w:val="PlaceholderText"/>
          <w:i w:val="0"/>
          <w:color w:val="808080"/>
        </w:rPr>
      </w:sdtEndPr>
      <w:sdtContent>
        <w:r w:rsidR="00F315B1" w:rsidRPr="00817865">
          <w:rPr>
            <w:rFonts w:cs="Arial"/>
          </w:rPr>
          <w:t xml:space="preserve"> the microstructure of dry powder inhalers using o</w:t>
        </w:r>
        <w:r w:rsidR="00F315B1">
          <w:rPr>
            <w:rFonts w:cs="Arial"/>
          </w:rPr>
          <w:t>rthogonal analytical approaches</w:t>
        </w:r>
      </w:sdtContent>
    </w:sdt>
    <w:r w:rsidR="00990C1E">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D53B1" w14:textId="77777777" w:rsidR="00964A86" w:rsidRPr="00964A86" w:rsidRDefault="002E77AE" w:rsidP="00964A86">
    <w:pPr>
      <w:pStyle w:val="Header"/>
      <w:pBdr>
        <w:bottom w:val="single" w:sz="6" w:space="1" w:color="auto"/>
      </w:pBdr>
      <w:rPr>
        <w:i/>
      </w:rPr>
    </w:pPr>
    <w:r>
      <w:rPr>
        <w:i/>
      </w:rPr>
      <w:t>Drug Delivery to the Lungs (DDL2017)</w:t>
    </w:r>
    <w:r w:rsidR="00964A86" w:rsidRPr="00964A86">
      <w:rPr>
        <w:i/>
      </w:rPr>
      <w:t>, 201</w:t>
    </w:r>
    <w:r>
      <w:rPr>
        <w:i/>
      </w:rPr>
      <w:t>7</w:t>
    </w:r>
    <w:r w:rsidR="00964A86" w:rsidRPr="00964A86">
      <w:rPr>
        <w:i/>
      </w:rPr>
      <w:t xml:space="preserve"> - </w:t>
    </w:r>
    <w:r w:rsidR="00990C1E">
      <w:fldChar w:fldCharType="begin"/>
    </w:r>
    <w:r w:rsidR="00990C1E">
      <w:instrText xml:space="preserve"> REF Author \h  \* MERGEFORMAT </w:instrText>
    </w:r>
    <w:r w:rsidR="00990C1E">
      <w:fldChar w:fldCharType="separate"/>
    </w:r>
    <w:sdt>
      <w:sdtPr>
        <w:rPr>
          <w:i/>
        </w:rPr>
        <w:alias w:val="Main Author"/>
        <w:tag w:val="Main Author"/>
        <w:id w:val="-1041593484"/>
        <w:lock w:val="sdtLocked"/>
        <w:placeholder>
          <w:docPart w:val="8767CCE5C7C749C29833C80B52C2E589"/>
        </w:placeholder>
      </w:sdtPr>
      <w:sdtEndPr>
        <w:rPr>
          <w:rStyle w:val="PlaceholderText"/>
          <w:i w:val="0"/>
          <w:color w:val="808080"/>
        </w:rPr>
      </w:sdtEndPr>
      <w:sdtContent>
        <w:sdt>
          <w:sdtPr>
            <w:rPr>
              <w:color w:val="808080"/>
              <w:u w:val="single"/>
            </w:rPr>
            <w:alias w:val="Main Author"/>
            <w:tag w:val="Main Author"/>
            <w:id w:val="-308556293"/>
            <w:placeholder>
              <w:docPart w:val="F85BFE6A0295384585A10CBB73BD69F8"/>
            </w:placeholder>
          </w:sdtPr>
          <w:sdtEndPr/>
          <w:sdtContent>
            <w:proofErr w:type="spellStart"/>
            <w:r w:rsidR="003E4477">
              <w:rPr>
                <w:u w:val="single"/>
              </w:rPr>
              <w:t>Gonçalo</w:t>
            </w:r>
            <w:proofErr w:type="spellEnd"/>
            <w:r w:rsidR="003E4477">
              <w:rPr>
                <w:u w:val="single"/>
              </w:rPr>
              <w:t xml:space="preserve"> Farias</w:t>
            </w:r>
          </w:sdtContent>
        </w:sdt>
      </w:sdtContent>
    </w:sdt>
    <w:r w:rsidR="00990C1E">
      <w:fldChar w:fldCharType="end"/>
    </w:r>
    <w:r w:rsidR="00964A86" w:rsidRPr="00964A86">
      <w:rPr>
        <w:i/>
      </w:rPr>
      <w:t xml:space="preserve"> et 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A48BE"/>
    <w:multiLevelType w:val="singleLevel"/>
    <w:tmpl w:val="E01298FA"/>
    <w:lvl w:ilvl="0">
      <w:start w:val="4"/>
      <w:numFmt w:val="decimal"/>
      <w:lvlText w:val="%1."/>
      <w:lvlJc w:val="left"/>
      <w:pPr>
        <w:tabs>
          <w:tab w:val="num" w:pos="720"/>
        </w:tabs>
        <w:ind w:left="720" w:hanging="720"/>
      </w:pPr>
      <w:rPr>
        <w:rFonts w:hint="default"/>
      </w:rPr>
    </w:lvl>
  </w:abstractNum>
  <w:abstractNum w:abstractNumId="1">
    <w:nsid w:val="4D2838E3"/>
    <w:multiLevelType w:val="hybridMultilevel"/>
    <w:tmpl w:val="273A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9117410"/>
    <w:multiLevelType w:val="hybridMultilevel"/>
    <w:tmpl w:val="3098A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49C5B5C"/>
    <w:multiLevelType w:val="hybridMultilevel"/>
    <w:tmpl w:val="F4D2D526"/>
    <w:lvl w:ilvl="0" w:tplc="D310CAD2">
      <w:start w:val="1"/>
      <w:numFmt w:val="bullet"/>
      <w:pStyle w:val="DD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A387F93"/>
    <w:multiLevelType w:val="singleLevel"/>
    <w:tmpl w:val="153E676C"/>
    <w:lvl w:ilvl="0">
      <w:start w:val="1"/>
      <w:numFmt w:val="decimal"/>
      <w:lvlText w:val="%1."/>
      <w:lvlJc w:val="left"/>
      <w:pPr>
        <w:tabs>
          <w:tab w:val="num" w:pos="720"/>
        </w:tabs>
        <w:ind w:left="720" w:hanging="720"/>
      </w:pPr>
      <w:rPr>
        <w:rFont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7D5"/>
    <w:rsid w:val="0000715D"/>
    <w:rsid w:val="0001616D"/>
    <w:rsid w:val="00016641"/>
    <w:rsid w:val="00032260"/>
    <w:rsid w:val="00042D62"/>
    <w:rsid w:val="00054372"/>
    <w:rsid w:val="0006467A"/>
    <w:rsid w:val="00087A34"/>
    <w:rsid w:val="000A2590"/>
    <w:rsid w:val="000A7F67"/>
    <w:rsid w:val="000E52D6"/>
    <w:rsid w:val="000E77D5"/>
    <w:rsid w:val="00134FB6"/>
    <w:rsid w:val="001516A0"/>
    <w:rsid w:val="00160344"/>
    <w:rsid w:val="001604DB"/>
    <w:rsid w:val="00163F37"/>
    <w:rsid w:val="001942DB"/>
    <w:rsid w:val="001B0E1B"/>
    <w:rsid w:val="001C1A34"/>
    <w:rsid w:val="001F037C"/>
    <w:rsid w:val="001F70F6"/>
    <w:rsid w:val="001F79B3"/>
    <w:rsid w:val="00217845"/>
    <w:rsid w:val="00231C18"/>
    <w:rsid w:val="002666D8"/>
    <w:rsid w:val="00283F05"/>
    <w:rsid w:val="00287EA3"/>
    <w:rsid w:val="0029067A"/>
    <w:rsid w:val="002B74ED"/>
    <w:rsid w:val="002D3340"/>
    <w:rsid w:val="002E77AE"/>
    <w:rsid w:val="002F38E3"/>
    <w:rsid w:val="0030358E"/>
    <w:rsid w:val="00311E4A"/>
    <w:rsid w:val="0031528C"/>
    <w:rsid w:val="00323FE7"/>
    <w:rsid w:val="0033185B"/>
    <w:rsid w:val="0034725F"/>
    <w:rsid w:val="003507CA"/>
    <w:rsid w:val="00387ECA"/>
    <w:rsid w:val="0039248E"/>
    <w:rsid w:val="003B383B"/>
    <w:rsid w:val="003B65D1"/>
    <w:rsid w:val="003C568E"/>
    <w:rsid w:val="003C5DC5"/>
    <w:rsid w:val="003C6A3B"/>
    <w:rsid w:val="003D10FC"/>
    <w:rsid w:val="003D3DDE"/>
    <w:rsid w:val="003D7C47"/>
    <w:rsid w:val="003E4477"/>
    <w:rsid w:val="003E5D10"/>
    <w:rsid w:val="003F37A9"/>
    <w:rsid w:val="00404A4E"/>
    <w:rsid w:val="00424C98"/>
    <w:rsid w:val="00427F09"/>
    <w:rsid w:val="00442036"/>
    <w:rsid w:val="00443370"/>
    <w:rsid w:val="00444A63"/>
    <w:rsid w:val="00447700"/>
    <w:rsid w:val="00453B6B"/>
    <w:rsid w:val="00490C5A"/>
    <w:rsid w:val="00496006"/>
    <w:rsid w:val="004A4870"/>
    <w:rsid w:val="004A684A"/>
    <w:rsid w:val="004B2051"/>
    <w:rsid w:val="004B6D88"/>
    <w:rsid w:val="004C1847"/>
    <w:rsid w:val="004F7F64"/>
    <w:rsid w:val="005302DC"/>
    <w:rsid w:val="005303CA"/>
    <w:rsid w:val="005357DB"/>
    <w:rsid w:val="00541F41"/>
    <w:rsid w:val="00544864"/>
    <w:rsid w:val="00544FB7"/>
    <w:rsid w:val="00545178"/>
    <w:rsid w:val="00565D5A"/>
    <w:rsid w:val="00580F18"/>
    <w:rsid w:val="00593A46"/>
    <w:rsid w:val="00596663"/>
    <w:rsid w:val="005B5FD9"/>
    <w:rsid w:val="005C06E5"/>
    <w:rsid w:val="005D441D"/>
    <w:rsid w:val="005F4472"/>
    <w:rsid w:val="006047B7"/>
    <w:rsid w:val="00613573"/>
    <w:rsid w:val="006220F6"/>
    <w:rsid w:val="00623DF2"/>
    <w:rsid w:val="00631B86"/>
    <w:rsid w:val="00642787"/>
    <w:rsid w:val="00657361"/>
    <w:rsid w:val="00671088"/>
    <w:rsid w:val="00676DA7"/>
    <w:rsid w:val="00677708"/>
    <w:rsid w:val="00686D0B"/>
    <w:rsid w:val="00697AE7"/>
    <w:rsid w:val="006A6E9B"/>
    <w:rsid w:val="006A7D26"/>
    <w:rsid w:val="006B12B5"/>
    <w:rsid w:val="006B3D22"/>
    <w:rsid w:val="006B419D"/>
    <w:rsid w:val="006D4E62"/>
    <w:rsid w:val="006E1C6F"/>
    <w:rsid w:val="006F0288"/>
    <w:rsid w:val="0070763C"/>
    <w:rsid w:val="00711476"/>
    <w:rsid w:val="00711C1F"/>
    <w:rsid w:val="00715F4B"/>
    <w:rsid w:val="00781E78"/>
    <w:rsid w:val="0078212D"/>
    <w:rsid w:val="00784010"/>
    <w:rsid w:val="00787F68"/>
    <w:rsid w:val="007B2BEC"/>
    <w:rsid w:val="007D307A"/>
    <w:rsid w:val="007E2F09"/>
    <w:rsid w:val="00804EEB"/>
    <w:rsid w:val="008050EA"/>
    <w:rsid w:val="00821655"/>
    <w:rsid w:val="00837ED2"/>
    <w:rsid w:val="008443EE"/>
    <w:rsid w:val="0084598F"/>
    <w:rsid w:val="00852676"/>
    <w:rsid w:val="00860916"/>
    <w:rsid w:val="00870B52"/>
    <w:rsid w:val="008744C6"/>
    <w:rsid w:val="00881895"/>
    <w:rsid w:val="008B02F1"/>
    <w:rsid w:val="008B4BF0"/>
    <w:rsid w:val="008C7F2D"/>
    <w:rsid w:val="008D115B"/>
    <w:rsid w:val="008D4D8B"/>
    <w:rsid w:val="008D7F19"/>
    <w:rsid w:val="008F2A41"/>
    <w:rsid w:val="0092389C"/>
    <w:rsid w:val="00930DA1"/>
    <w:rsid w:val="0093458B"/>
    <w:rsid w:val="00941946"/>
    <w:rsid w:val="0095324F"/>
    <w:rsid w:val="00954D9D"/>
    <w:rsid w:val="00964A86"/>
    <w:rsid w:val="00966CD3"/>
    <w:rsid w:val="00974E37"/>
    <w:rsid w:val="009818AC"/>
    <w:rsid w:val="00990C1E"/>
    <w:rsid w:val="00996628"/>
    <w:rsid w:val="009A0009"/>
    <w:rsid w:val="009A1638"/>
    <w:rsid w:val="009A4453"/>
    <w:rsid w:val="009A52B9"/>
    <w:rsid w:val="009A5E01"/>
    <w:rsid w:val="009C6C08"/>
    <w:rsid w:val="009D1A31"/>
    <w:rsid w:val="009D1CB7"/>
    <w:rsid w:val="009D5953"/>
    <w:rsid w:val="009D77B3"/>
    <w:rsid w:val="009E7542"/>
    <w:rsid w:val="00A0358B"/>
    <w:rsid w:val="00A13504"/>
    <w:rsid w:val="00A14F14"/>
    <w:rsid w:val="00A515A9"/>
    <w:rsid w:val="00A67298"/>
    <w:rsid w:val="00A77CA8"/>
    <w:rsid w:val="00A94905"/>
    <w:rsid w:val="00AA1175"/>
    <w:rsid w:val="00AA74BE"/>
    <w:rsid w:val="00AC04A2"/>
    <w:rsid w:val="00AD115D"/>
    <w:rsid w:val="00B122AD"/>
    <w:rsid w:val="00B25B95"/>
    <w:rsid w:val="00B42A7F"/>
    <w:rsid w:val="00B5120E"/>
    <w:rsid w:val="00B54843"/>
    <w:rsid w:val="00B55646"/>
    <w:rsid w:val="00B719D1"/>
    <w:rsid w:val="00B804AB"/>
    <w:rsid w:val="00B906A5"/>
    <w:rsid w:val="00B94313"/>
    <w:rsid w:val="00BB5229"/>
    <w:rsid w:val="00BC0021"/>
    <w:rsid w:val="00BC30C2"/>
    <w:rsid w:val="00BC3B49"/>
    <w:rsid w:val="00BD6569"/>
    <w:rsid w:val="00BD68AD"/>
    <w:rsid w:val="00BD70D3"/>
    <w:rsid w:val="00C0283C"/>
    <w:rsid w:val="00C126B9"/>
    <w:rsid w:val="00C543B6"/>
    <w:rsid w:val="00C65A37"/>
    <w:rsid w:val="00C6681A"/>
    <w:rsid w:val="00CE39C8"/>
    <w:rsid w:val="00CE4EC8"/>
    <w:rsid w:val="00CF24A7"/>
    <w:rsid w:val="00CF3462"/>
    <w:rsid w:val="00CF7D1B"/>
    <w:rsid w:val="00D01092"/>
    <w:rsid w:val="00D075F7"/>
    <w:rsid w:val="00D156FE"/>
    <w:rsid w:val="00D23C41"/>
    <w:rsid w:val="00D41A7C"/>
    <w:rsid w:val="00D47884"/>
    <w:rsid w:val="00D54376"/>
    <w:rsid w:val="00D566D3"/>
    <w:rsid w:val="00D67A60"/>
    <w:rsid w:val="00D85CE6"/>
    <w:rsid w:val="00D93537"/>
    <w:rsid w:val="00D9655E"/>
    <w:rsid w:val="00DD4A2D"/>
    <w:rsid w:val="00DD5EB8"/>
    <w:rsid w:val="00DE0973"/>
    <w:rsid w:val="00DE6AE7"/>
    <w:rsid w:val="00DF392A"/>
    <w:rsid w:val="00E00624"/>
    <w:rsid w:val="00E108CE"/>
    <w:rsid w:val="00E16AC0"/>
    <w:rsid w:val="00E42945"/>
    <w:rsid w:val="00E51903"/>
    <w:rsid w:val="00E562CE"/>
    <w:rsid w:val="00E62590"/>
    <w:rsid w:val="00E80054"/>
    <w:rsid w:val="00E92FCA"/>
    <w:rsid w:val="00E9667D"/>
    <w:rsid w:val="00EA10BB"/>
    <w:rsid w:val="00EA21D3"/>
    <w:rsid w:val="00EA530D"/>
    <w:rsid w:val="00EE7503"/>
    <w:rsid w:val="00EF0CBF"/>
    <w:rsid w:val="00F15D45"/>
    <w:rsid w:val="00F20F19"/>
    <w:rsid w:val="00F2495D"/>
    <w:rsid w:val="00F3080A"/>
    <w:rsid w:val="00F315B1"/>
    <w:rsid w:val="00F35FC0"/>
    <w:rsid w:val="00F435EA"/>
    <w:rsid w:val="00F75675"/>
    <w:rsid w:val="00FA6F23"/>
    <w:rsid w:val="00FC33BA"/>
    <w:rsid w:val="00FD125D"/>
    <w:rsid w:val="00FE2845"/>
    <w:rsid w:val="00FE2EE6"/>
    <w:rsid w:val="00FE2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19F158"/>
  <w15:docId w15:val="{807131DF-70D9-4A92-AC1A-A05F2C49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82">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9D77B3"/>
    <w:pPr>
      <w:spacing w:after="180"/>
      <w:jc w:val="both"/>
    </w:pPr>
    <w:rPr>
      <w:rFonts w:ascii="Arial" w:hAnsi="Arial"/>
      <w:sz w:val="18"/>
    </w:rPr>
  </w:style>
  <w:style w:type="paragraph" w:styleId="Heading1">
    <w:name w:val="heading 1"/>
    <w:basedOn w:val="Normal"/>
    <w:next w:val="Normal"/>
    <w:link w:val="Heading1Char"/>
    <w:autoRedefine/>
    <w:uiPriority w:val="9"/>
    <w:rsid w:val="00565D5A"/>
    <w:pPr>
      <w:keepNext/>
      <w:spacing w:before="360"/>
      <w:outlineLvl w:val="0"/>
    </w:pPr>
    <w:rPr>
      <w:b/>
      <w:bCs/>
      <w:kern w:val="32"/>
      <w:szCs w:val="32"/>
    </w:rPr>
  </w:style>
  <w:style w:type="paragraph" w:styleId="Heading2">
    <w:name w:val="heading 2"/>
    <w:basedOn w:val="Normal"/>
    <w:next w:val="Normal"/>
    <w:rsid w:val="00BD68AD"/>
    <w:pPr>
      <w:keepNext/>
      <w:outlineLvl w:val="1"/>
    </w:pPr>
    <w:rPr>
      <w:rFonts w:ascii="Times New Roman" w:hAnsi="Times New Roman"/>
      <w:b/>
      <w:i/>
      <w:sz w:val="22"/>
      <w:lang w:eastAsia="en-US"/>
    </w:rPr>
  </w:style>
  <w:style w:type="paragraph" w:styleId="Heading3">
    <w:name w:val="heading 3"/>
    <w:basedOn w:val="Normal"/>
    <w:next w:val="Normal"/>
    <w:rsid w:val="008D115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D5EB8"/>
    <w:rPr>
      <w:color w:val="0563C1"/>
      <w:u w:val="single"/>
    </w:rPr>
  </w:style>
  <w:style w:type="paragraph" w:customStyle="1" w:styleId="DDLTitle">
    <w:name w:val="DDL_Title"/>
    <w:basedOn w:val="Title"/>
    <w:next w:val="DDLSubtitle"/>
    <w:qFormat/>
    <w:rsid w:val="00AD115D"/>
    <w:pPr>
      <w:spacing w:before="0" w:after="280"/>
    </w:pPr>
    <w:rPr>
      <w:rFonts w:ascii="Arial" w:hAnsi="Arial"/>
      <w:sz w:val="18"/>
    </w:rPr>
  </w:style>
  <w:style w:type="paragraph" w:customStyle="1" w:styleId="DDLSubtitle">
    <w:name w:val="DDL_Subtitle"/>
    <w:basedOn w:val="Subtitle"/>
    <w:next w:val="DDLAddress1"/>
    <w:qFormat/>
    <w:rsid w:val="00AD115D"/>
    <w:pPr>
      <w:spacing w:after="180"/>
    </w:pPr>
    <w:rPr>
      <w:rFonts w:ascii="Arial" w:hAnsi="Arial"/>
      <w:b/>
      <w:sz w:val="18"/>
    </w:rPr>
  </w:style>
  <w:style w:type="paragraph" w:styleId="Title">
    <w:name w:val="Title"/>
    <w:basedOn w:val="Normal"/>
    <w:next w:val="Normal"/>
    <w:link w:val="TitleChar"/>
    <w:uiPriority w:val="10"/>
    <w:rsid w:val="00AD115D"/>
    <w:pPr>
      <w:spacing w:before="240" w:after="60"/>
      <w:jc w:val="center"/>
      <w:outlineLvl w:val="0"/>
    </w:pPr>
    <w:rPr>
      <w:rFonts w:ascii="Calibri Light" w:hAnsi="Calibri Light"/>
      <w:b/>
      <w:bCs/>
      <w:kern w:val="28"/>
      <w:sz w:val="32"/>
      <w:szCs w:val="32"/>
    </w:rPr>
  </w:style>
  <w:style w:type="character" w:customStyle="1" w:styleId="Heading1Char">
    <w:name w:val="Heading 1 Char"/>
    <w:link w:val="Heading1"/>
    <w:uiPriority w:val="9"/>
    <w:rsid w:val="00565D5A"/>
    <w:rPr>
      <w:rFonts w:ascii="Arial" w:eastAsia="Times New Roman" w:hAnsi="Arial" w:cs="Times New Roman"/>
      <w:b/>
      <w:bCs/>
      <w:kern w:val="32"/>
      <w:sz w:val="18"/>
      <w:szCs w:val="32"/>
    </w:rPr>
  </w:style>
  <w:style w:type="character" w:customStyle="1" w:styleId="TitleChar">
    <w:name w:val="Title Char"/>
    <w:link w:val="Title"/>
    <w:uiPriority w:val="10"/>
    <w:rsid w:val="00AD115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rsid w:val="00AD115D"/>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AD115D"/>
    <w:rPr>
      <w:rFonts w:ascii="Calibri Light" w:eastAsia="Times New Roman" w:hAnsi="Calibri Light" w:cs="Times New Roman"/>
      <w:sz w:val="24"/>
      <w:szCs w:val="24"/>
    </w:rPr>
  </w:style>
  <w:style w:type="paragraph" w:customStyle="1" w:styleId="DDLAddress1">
    <w:name w:val="DDL_Address1"/>
    <w:basedOn w:val="DDLSubtitle"/>
    <w:next w:val="DDLAddress2"/>
    <w:qFormat/>
    <w:rsid w:val="00AD115D"/>
    <w:pPr>
      <w:spacing w:after="60"/>
    </w:pPr>
    <w:rPr>
      <w:b w:val="0"/>
    </w:rPr>
  </w:style>
  <w:style w:type="paragraph" w:customStyle="1" w:styleId="DDLAddress2">
    <w:name w:val="DDL_Address2"/>
    <w:basedOn w:val="DDLAddress1"/>
    <w:next w:val="DDLHeading1"/>
    <w:qFormat/>
    <w:rsid w:val="00AD115D"/>
    <w:pPr>
      <w:spacing w:after="280"/>
    </w:pPr>
  </w:style>
  <w:style w:type="paragraph" w:customStyle="1" w:styleId="DDLBodyText">
    <w:name w:val="DDL_BodyText"/>
    <w:basedOn w:val="Normal"/>
    <w:qFormat/>
    <w:rsid w:val="00D156FE"/>
  </w:style>
  <w:style w:type="paragraph" w:customStyle="1" w:styleId="DDLBullets">
    <w:name w:val="DDL_Bullets"/>
    <w:basedOn w:val="Normal"/>
    <w:qFormat/>
    <w:rsid w:val="00D156FE"/>
    <w:pPr>
      <w:numPr>
        <w:numId w:val="4"/>
      </w:numPr>
      <w:tabs>
        <w:tab w:val="left" w:pos="567"/>
        <w:tab w:val="left" w:pos="1701"/>
      </w:tabs>
      <w:spacing w:after="60"/>
      <w:ind w:left="568" w:hanging="284"/>
    </w:pPr>
  </w:style>
  <w:style w:type="paragraph" w:customStyle="1" w:styleId="DDLHeading1">
    <w:name w:val="DDL_Heading1"/>
    <w:basedOn w:val="Heading1"/>
    <w:next w:val="DDLBodyText"/>
    <w:qFormat/>
    <w:rsid w:val="00D156FE"/>
    <w:pPr>
      <w:spacing w:before="280"/>
    </w:pPr>
  </w:style>
  <w:style w:type="character" w:customStyle="1" w:styleId="DDLEmphasis">
    <w:name w:val="DDL_Emphasis"/>
    <w:qFormat/>
    <w:rsid w:val="00821655"/>
    <w:rPr>
      <w:rFonts w:ascii="Arial Black" w:hAnsi="Arial Black"/>
      <w:b w:val="0"/>
      <w:color w:val="595959"/>
      <w:sz w:val="18"/>
    </w:rPr>
  </w:style>
  <w:style w:type="character" w:styleId="CommentReference">
    <w:name w:val="annotation reference"/>
    <w:uiPriority w:val="99"/>
    <w:semiHidden/>
    <w:unhideWhenUsed/>
    <w:rsid w:val="0095324F"/>
    <w:rPr>
      <w:sz w:val="16"/>
      <w:szCs w:val="16"/>
    </w:rPr>
  </w:style>
  <w:style w:type="paragraph" w:styleId="CommentText">
    <w:name w:val="annotation text"/>
    <w:basedOn w:val="Normal"/>
    <w:link w:val="CommentTextChar"/>
    <w:uiPriority w:val="99"/>
    <w:semiHidden/>
    <w:unhideWhenUsed/>
    <w:rsid w:val="0095324F"/>
    <w:rPr>
      <w:sz w:val="20"/>
    </w:rPr>
  </w:style>
  <w:style w:type="character" w:customStyle="1" w:styleId="CommentTextChar">
    <w:name w:val="Comment Text Char"/>
    <w:link w:val="CommentText"/>
    <w:uiPriority w:val="99"/>
    <w:semiHidden/>
    <w:rsid w:val="0095324F"/>
    <w:rPr>
      <w:rFonts w:ascii="Arial" w:hAnsi="Arial"/>
    </w:rPr>
  </w:style>
  <w:style w:type="paragraph" w:styleId="CommentSubject">
    <w:name w:val="annotation subject"/>
    <w:basedOn w:val="CommentText"/>
    <w:next w:val="CommentText"/>
    <w:link w:val="CommentSubjectChar"/>
    <w:uiPriority w:val="99"/>
    <w:semiHidden/>
    <w:unhideWhenUsed/>
    <w:rsid w:val="0095324F"/>
    <w:rPr>
      <w:b/>
      <w:bCs/>
    </w:rPr>
  </w:style>
  <w:style w:type="character" w:customStyle="1" w:styleId="CommentSubjectChar">
    <w:name w:val="Comment Subject Char"/>
    <w:link w:val="CommentSubject"/>
    <w:uiPriority w:val="99"/>
    <w:semiHidden/>
    <w:rsid w:val="0095324F"/>
    <w:rPr>
      <w:rFonts w:ascii="Arial" w:hAnsi="Arial"/>
      <w:b/>
      <w:bCs/>
    </w:rPr>
  </w:style>
  <w:style w:type="paragraph" w:styleId="BalloonText">
    <w:name w:val="Balloon Text"/>
    <w:basedOn w:val="Normal"/>
    <w:link w:val="BalloonTextChar"/>
    <w:uiPriority w:val="99"/>
    <w:semiHidden/>
    <w:unhideWhenUsed/>
    <w:rsid w:val="0095324F"/>
    <w:pPr>
      <w:spacing w:after="0"/>
    </w:pPr>
    <w:rPr>
      <w:rFonts w:ascii="Segoe UI" w:hAnsi="Segoe UI"/>
      <w:szCs w:val="18"/>
    </w:rPr>
  </w:style>
  <w:style w:type="character" w:customStyle="1" w:styleId="BalloonTextChar">
    <w:name w:val="Balloon Text Char"/>
    <w:link w:val="BalloonText"/>
    <w:uiPriority w:val="99"/>
    <w:semiHidden/>
    <w:rsid w:val="0095324F"/>
    <w:rPr>
      <w:rFonts w:ascii="Segoe UI" w:hAnsi="Segoe UI" w:cs="Segoe UI"/>
      <w:sz w:val="18"/>
      <w:szCs w:val="18"/>
    </w:rPr>
  </w:style>
  <w:style w:type="paragraph" w:styleId="Caption">
    <w:name w:val="caption"/>
    <w:basedOn w:val="Normal"/>
    <w:next w:val="Normal"/>
    <w:uiPriority w:val="35"/>
    <w:semiHidden/>
    <w:unhideWhenUsed/>
    <w:qFormat/>
    <w:rsid w:val="0095324F"/>
    <w:rPr>
      <w:b/>
      <w:bCs/>
      <w:sz w:val="20"/>
    </w:rPr>
  </w:style>
  <w:style w:type="paragraph" w:customStyle="1" w:styleId="DDLCaption">
    <w:name w:val="DDL_Caption"/>
    <w:basedOn w:val="Caption"/>
    <w:next w:val="Normal"/>
    <w:qFormat/>
    <w:rsid w:val="0095324F"/>
    <w:pPr>
      <w:tabs>
        <w:tab w:val="left" w:pos="851"/>
      </w:tabs>
    </w:pPr>
    <w:rPr>
      <w:sz w:val="16"/>
      <w:szCs w:val="16"/>
    </w:rPr>
  </w:style>
  <w:style w:type="paragraph" w:customStyle="1" w:styleId="DDLFigure">
    <w:name w:val="DDL_Figure"/>
    <w:basedOn w:val="Normal"/>
    <w:qFormat/>
    <w:rsid w:val="00DF392A"/>
    <w:pPr>
      <w:keepNext/>
      <w:spacing w:after="100"/>
      <w:ind w:left="851"/>
    </w:pPr>
  </w:style>
  <w:style w:type="paragraph" w:styleId="EndnoteText">
    <w:name w:val="endnote text"/>
    <w:basedOn w:val="Normal"/>
    <w:link w:val="EndnoteTextChar"/>
    <w:uiPriority w:val="99"/>
    <w:semiHidden/>
    <w:unhideWhenUsed/>
    <w:rsid w:val="00A515A9"/>
    <w:rPr>
      <w:sz w:val="20"/>
    </w:rPr>
  </w:style>
  <w:style w:type="character" w:customStyle="1" w:styleId="EndnoteTextChar">
    <w:name w:val="Endnote Text Char"/>
    <w:link w:val="EndnoteText"/>
    <w:uiPriority w:val="99"/>
    <w:semiHidden/>
    <w:rsid w:val="00A515A9"/>
    <w:rPr>
      <w:rFonts w:ascii="Arial" w:hAnsi="Arial"/>
    </w:rPr>
  </w:style>
  <w:style w:type="character" w:styleId="EndnoteReference">
    <w:name w:val="endnote reference"/>
    <w:uiPriority w:val="99"/>
    <w:semiHidden/>
    <w:unhideWhenUsed/>
    <w:rsid w:val="00A515A9"/>
    <w:rPr>
      <w:vertAlign w:val="superscript"/>
    </w:rPr>
  </w:style>
  <w:style w:type="character" w:customStyle="1" w:styleId="DDLReferenceSuperscript">
    <w:name w:val="DDL_ReferenceSuperscript"/>
    <w:rsid w:val="00A515A9"/>
    <w:rPr>
      <w:vertAlign w:val="superscript"/>
    </w:rPr>
  </w:style>
  <w:style w:type="paragraph" w:customStyle="1" w:styleId="DDLReferences">
    <w:name w:val="DDL_References"/>
    <w:basedOn w:val="EndnoteText"/>
    <w:rsid w:val="00930DA1"/>
    <w:pPr>
      <w:tabs>
        <w:tab w:val="left" w:pos="284"/>
      </w:tabs>
      <w:ind w:left="284" w:hanging="284"/>
      <w:jc w:val="left"/>
    </w:pPr>
    <w:rPr>
      <w:sz w:val="16"/>
    </w:rPr>
  </w:style>
  <w:style w:type="paragraph" w:styleId="Header">
    <w:name w:val="header"/>
    <w:basedOn w:val="Normal"/>
    <w:link w:val="HeaderChar"/>
    <w:uiPriority w:val="99"/>
    <w:unhideWhenUsed/>
    <w:rsid w:val="00C126B9"/>
    <w:pPr>
      <w:tabs>
        <w:tab w:val="center" w:pos="4513"/>
        <w:tab w:val="right" w:pos="9026"/>
      </w:tabs>
    </w:pPr>
  </w:style>
  <w:style w:type="character" w:customStyle="1" w:styleId="HeaderChar">
    <w:name w:val="Header Char"/>
    <w:link w:val="Header"/>
    <w:uiPriority w:val="99"/>
    <w:rsid w:val="00C126B9"/>
    <w:rPr>
      <w:rFonts w:ascii="Arial" w:hAnsi="Arial"/>
      <w:sz w:val="18"/>
    </w:rPr>
  </w:style>
  <w:style w:type="paragraph" w:styleId="Footer">
    <w:name w:val="footer"/>
    <w:basedOn w:val="Normal"/>
    <w:link w:val="FooterChar"/>
    <w:uiPriority w:val="99"/>
    <w:unhideWhenUsed/>
    <w:rsid w:val="00C126B9"/>
    <w:pPr>
      <w:tabs>
        <w:tab w:val="center" w:pos="4513"/>
        <w:tab w:val="right" w:pos="9026"/>
      </w:tabs>
    </w:pPr>
  </w:style>
  <w:style w:type="character" w:customStyle="1" w:styleId="FooterChar">
    <w:name w:val="Footer Char"/>
    <w:link w:val="Footer"/>
    <w:uiPriority w:val="99"/>
    <w:rsid w:val="00C126B9"/>
    <w:rPr>
      <w:rFonts w:ascii="Arial" w:hAnsi="Arial"/>
      <w:sz w:val="18"/>
    </w:rPr>
  </w:style>
  <w:style w:type="character" w:styleId="PlaceholderText">
    <w:name w:val="Placeholder Text"/>
    <w:basedOn w:val="DefaultParagraphFont"/>
    <w:uiPriority w:val="99"/>
    <w:semiHidden/>
    <w:rsid w:val="00160344"/>
    <w:rPr>
      <w:color w:val="808080"/>
    </w:rPr>
  </w:style>
  <w:style w:type="paragraph" w:customStyle="1" w:styleId="FrontSub-heading">
    <w:name w:val="Front Sub-heading"/>
    <w:basedOn w:val="Normal"/>
    <w:rsid w:val="00F75675"/>
    <w:pPr>
      <w:spacing w:after="0"/>
      <w:jc w:val="left"/>
    </w:pPr>
    <w:rPr>
      <w:rFonts w:ascii="Calibri" w:hAnsi="Calibri"/>
      <w:b/>
      <w:noProof/>
      <w:lang w:eastAsia="en-US"/>
    </w:rPr>
  </w:style>
  <w:style w:type="table" w:styleId="TableGrid">
    <w:name w:val="Table Grid"/>
    <w:basedOn w:val="TableNormal"/>
    <w:uiPriority w:val="39"/>
    <w:rsid w:val="0092389C"/>
    <w:rPr>
      <w:rFonts w:asciiTheme="minorHAnsi" w:eastAsia="Cambria"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378704">
      <w:bodyDiv w:val="1"/>
      <w:marLeft w:val="0"/>
      <w:marRight w:val="0"/>
      <w:marTop w:val="0"/>
      <w:marBottom w:val="0"/>
      <w:divBdr>
        <w:top w:val="none" w:sz="0" w:space="0" w:color="auto"/>
        <w:left w:val="none" w:sz="0" w:space="0" w:color="auto"/>
        <w:bottom w:val="none" w:sz="0" w:space="0" w:color="auto"/>
        <w:right w:val="none" w:sz="0" w:space="0" w:color="auto"/>
      </w:divBdr>
    </w:div>
    <w:div w:id="234978235">
      <w:bodyDiv w:val="1"/>
      <w:marLeft w:val="0"/>
      <w:marRight w:val="0"/>
      <w:marTop w:val="0"/>
      <w:marBottom w:val="0"/>
      <w:divBdr>
        <w:top w:val="none" w:sz="0" w:space="0" w:color="auto"/>
        <w:left w:val="none" w:sz="0" w:space="0" w:color="auto"/>
        <w:bottom w:val="none" w:sz="0" w:space="0" w:color="auto"/>
        <w:right w:val="none" w:sz="0" w:space="0" w:color="auto"/>
      </w:divBdr>
      <w:divsChild>
        <w:div w:id="580335840">
          <w:marLeft w:val="0"/>
          <w:marRight w:val="0"/>
          <w:marTop w:val="0"/>
          <w:marBottom w:val="0"/>
          <w:divBdr>
            <w:top w:val="none" w:sz="0" w:space="0" w:color="auto"/>
            <w:left w:val="none" w:sz="0" w:space="0" w:color="auto"/>
            <w:bottom w:val="none" w:sz="0" w:space="0" w:color="auto"/>
            <w:right w:val="none" w:sz="0" w:space="0" w:color="auto"/>
          </w:divBdr>
          <w:divsChild>
            <w:div w:id="1531724045">
              <w:marLeft w:val="0"/>
              <w:marRight w:val="0"/>
              <w:marTop w:val="0"/>
              <w:marBottom w:val="0"/>
              <w:divBdr>
                <w:top w:val="none" w:sz="0" w:space="0" w:color="auto"/>
                <w:left w:val="none" w:sz="0" w:space="0" w:color="auto"/>
                <w:bottom w:val="none" w:sz="0" w:space="0" w:color="auto"/>
                <w:right w:val="none" w:sz="0" w:space="0" w:color="auto"/>
              </w:divBdr>
              <w:divsChild>
                <w:div w:id="68787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494069">
      <w:bodyDiv w:val="1"/>
      <w:marLeft w:val="0"/>
      <w:marRight w:val="0"/>
      <w:marTop w:val="0"/>
      <w:marBottom w:val="0"/>
      <w:divBdr>
        <w:top w:val="none" w:sz="0" w:space="0" w:color="auto"/>
        <w:left w:val="none" w:sz="0" w:space="0" w:color="auto"/>
        <w:bottom w:val="none" w:sz="0" w:space="0" w:color="auto"/>
        <w:right w:val="none" w:sz="0" w:space="0" w:color="auto"/>
      </w:divBdr>
    </w:div>
    <w:div w:id="1183281930">
      <w:bodyDiv w:val="1"/>
      <w:marLeft w:val="0"/>
      <w:marRight w:val="0"/>
      <w:marTop w:val="0"/>
      <w:marBottom w:val="0"/>
      <w:divBdr>
        <w:top w:val="none" w:sz="0" w:space="0" w:color="auto"/>
        <w:left w:val="none" w:sz="0" w:space="0" w:color="auto"/>
        <w:bottom w:val="none" w:sz="0" w:space="0" w:color="auto"/>
        <w:right w:val="none" w:sz="0" w:space="0" w:color="auto"/>
      </w:divBdr>
    </w:div>
    <w:div w:id="19317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ntTable" Target="fontTable.xml"/><Relationship Id="rId14" Type="http://schemas.openxmlformats.org/officeDocument/2006/relationships/glossaryDocument" Target="glossary/document.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3874C70D8C44D6B0BA71800E08656C"/>
        <w:category>
          <w:name w:val="General"/>
          <w:gallery w:val="placeholder"/>
        </w:category>
        <w:types>
          <w:type w:val="bbPlcHdr"/>
        </w:types>
        <w:behaviors>
          <w:behavior w:val="content"/>
        </w:behaviors>
        <w:guid w:val="{0CE55F09-29C6-4D1A-89F1-59EE4CB6303B}"/>
      </w:docPartPr>
      <w:docPartBody>
        <w:p w:rsidR="004A5D97" w:rsidRDefault="00623571" w:rsidP="00623571">
          <w:pPr>
            <w:pStyle w:val="F93874C70D8C44D6B0BA71800E08656C4"/>
          </w:pPr>
          <w:r w:rsidRPr="00160344">
            <w:rPr>
              <w:rStyle w:val="PlaceholderText"/>
              <w:color w:val="auto"/>
            </w:rPr>
            <w:t>Title of Your Paper</w:t>
          </w:r>
        </w:p>
      </w:docPartBody>
    </w:docPart>
    <w:docPart>
      <w:docPartPr>
        <w:name w:val="38BA82FFF2774C26AC6862CFB8BB55DB"/>
        <w:category>
          <w:name w:val="General"/>
          <w:gallery w:val="placeholder"/>
        </w:category>
        <w:types>
          <w:type w:val="bbPlcHdr"/>
        </w:types>
        <w:behaviors>
          <w:behavior w:val="content"/>
        </w:behaviors>
        <w:guid w:val="{BF2EA8B4-C61A-4653-9C63-BB7ECA0F24DD}"/>
      </w:docPartPr>
      <w:docPartBody>
        <w:p w:rsidR="004A5D97" w:rsidRDefault="00623571" w:rsidP="00623571">
          <w:pPr>
            <w:pStyle w:val="38BA82FFF2774C26AC6862CFB8BB55DB3"/>
          </w:pPr>
          <w:r w:rsidRPr="00160344">
            <w:rPr>
              <w:rStyle w:val="PlaceholderText"/>
              <w:color w:val="auto"/>
              <w:u w:val="single"/>
            </w:rPr>
            <w:t>Main Author</w:t>
          </w:r>
        </w:p>
      </w:docPartBody>
    </w:docPart>
    <w:docPart>
      <w:docPartPr>
        <w:name w:val="8767CCE5C7C749C29833C80B52C2E589"/>
        <w:category>
          <w:name w:val="General"/>
          <w:gallery w:val="placeholder"/>
        </w:category>
        <w:types>
          <w:type w:val="bbPlcHdr"/>
        </w:types>
        <w:behaviors>
          <w:behavior w:val="content"/>
        </w:behaviors>
        <w:guid w:val="{4FC66B6F-D2F5-4631-A24F-ED1C9CE7FD41}"/>
      </w:docPartPr>
      <w:docPartBody>
        <w:p w:rsidR="004A5D97" w:rsidRDefault="00623571" w:rsidP="00623571">
          <w:pPr>
            <w:pStyle w:val="8767CCE5C7C749C29833C80B52C2E5891"/>
          </w:pPr>
          <w:r w:rsidRPr="00964A86">
            <w:rPr>
              <w:rStyle w:val="PlaceholderText"/>
              <w:i/>
              <w:color w:val="auto"/>
            </w:rPr>
            <w:t>Main Author</w:t>
          </w:r>
        </w:p>
      </w:docPartBody>
    </w:docPart>
    <w:docPart>
      <w:docPartPr>
        <w:name w:val="B046F90048CB4F0380F99889E7477724"/>
        <w:category>
          <w:name w:val="General"/>
          <w:gallery w:val="placeholder"/>
        </w:category>
        <w:types>
          <w:type w:val="bbPlcHdr"/>
        </w:types>
        <w:behaviors>
          <w:behavior w:val="content"/>
        </w:behaviors>
        <w:guid w:val="{36C9EF43-5889-458B-9270-ECE830BAB608}"/>
      </w:docPartPr>
      <w:docPartBody>
        <w:p w:rsidR="004A5D97" w:rsidRDefault="00623571" w:rsidP="00623571">
          <w:pPr>
            <w:pStyle w:val="B046F90048CB4F0380F99889E7477724"/>
          </w:pPr>
          <w:r w:rsidRPr="00160344">
            <w:rPr>
              <w:rStyle w:val="PlaceholderText"/>
              <w:color w:val="auto"/>
            </w:rPr>
            <w:t>Title of Your Paper</w:t>
          </w:r>
        </w:p>
      </w:docPartBody>
    </w:docPart>
    <w:docPart>
      <w:docPartPr>
        <w:name w:val="F85BFE6A0295384585A10CBB73BD69F8"/>
        <w:category>
          <w:name w:val="General"/>
          <w:gallery w:val="placeholder"/>
        </w:category>
        <w:types>
          <w:type w:val="bbPlcHdr"/>
        </w:types>
        <w:behaviors>
          <w:behavior w:val="content"/>
        </w:behaviors>
        <w:guid w:val="{52CC9E79-A7EE-C44C-9B65-3111BA324966}"/>
      </w:docPartPr>
      <w:docPartBody>
        <w:p w:rsidR="00745A6A" w:rsidRDefault="00590639" w:rsidP="00590639">
          <w:pPr>
            <w:pStyle w:val="F85BFE6A0295384585A10CBB73BD69F8"/>
          </w:pPr>
          <w:r w:rsidRPr="00160344">
            <w:rPr>
              <w:rStyle w:val="PlaceholderText"/>
              <w:color w:val="auto"/>
              <w:u w:val="single"/>
            </w:rPr>
            <w:t>Main 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w:altName w:val="Calibri"/>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swiss"/>
    <w:pitch w:val="variable"/>
    <w:sig w:usb0="F7FFAFFF" w:usb1="E9DFFFFF" w:usb2="0000003F" w:usb3="00000000" w:csb0="003F01FF" w:csb1="00000000"/>
  </w:font>
  <w:font w:name="MS Mincho">
    <w:panose1 w:val="02020609040205080304"/>
    <w:charset w:val="80"/>
    <w:family w:val="roman"/>
    <w:pitch w:val="fixed"/>
    <w:sig w:usb0="E00002FF" w:usb1="6AC7FDFB" w:usb2="08000012" w:usb3="00000000" w:csb0="0002009F" w:csb1="00000000"/>
  </w:font>
  <w:font w:name="Times">
    <w:panose1 w:val="02000500000000000000"/>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623571"/>
    <w:rsid w:val="00074500"/>
    <w:rsid w:val="00134A2D"/>
    <w:rsid w:val="00145EDD"/>
    <w:rsid w:val="003009AF"/>
    <w:rsid w:val="004A5D97"/>
    <w:rsid w:val="005025F8"/>
    <w:rsid w:val="00590639"/>
    <w:rsid w:val="00623571"/>
    <w:rsid w:val="00745A6A"/>
    <w:rsid w:val="00876E14"/>
    <w:rsid w:val="00B01474"/>
    <w:rsid w:val="00BE5AAC"/>
    <w:rsid w:val="00CF1D98"/>
    <w:rsid w:val="00DB04D1"/>
    <w:rsid w:val="00FB1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74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0639"/>
    <w:rPr>
      <w:color w:val="808080"/>
    </w:rPr>
  </w:style>
  <w:style w:type="paragraph" w:customStyle="1" w:styleId="F93874C70D8C44D6B0BA71800E08656C">
    <w:name w:val="F93874C70D8C44D6B0BA71800E08656C"/>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F93874C70D8C44D6B0BA71800E08656C1">
    <w:name w:val="F93874C70D8C44D6B0BA71800E08656C1"/>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
    <w:name w:val="38BA82FFF2774C26AC6862CFB8BB55DB"/>
    <w:rsid w:val="00623571"/>
    <w:pPr>
      <w:spacing w:after="180" w:line="240" w:lineRule="auto"/>
      <w:jc w:val="center"/>
      <w:outlineLvl w:val="1"/>
    </w:pPr>
    <w:rPr>
      <w:rFonts w:ascii="Arial" w:eastAsia="Times New Roman" w:hAnsi="Arial" w:cs="Times New Roman"/>
      <w:b/>
      <w:sz w:val="18"/>
      <w:szCs w:val="24"/>
    </w:rPr>
  </w:style>
  <w:style w:type="paragraph" w:customStyle="1" w:styleId="F93874C70D8C44D6B0BA71800E08656C2">
    <w:name w:val="F93874C70D8C44D6B0BA71800E08656C2"/>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1">
    <w:name w:val="38BA82FFF2774C26AC6862CFB8BB55DB1"/>
    <w:rsid w:val="00623571"/>
    <w:pPr>
      <w:spacing w:after="180" w:line="240" w:lineRule="auto"/>
      <w:jc w:val="center"/>
      <w:outlineLvl w:val="1"/>
    </w:pPr>
    <w:rPr>
      <w:rFonts w:ascii="Arial" w:eastAsia="Times New Roman" w:hAnsi="Arial" w:cs="Times New Roman"/>
      <w:b/>
      <w:sz w:val="18"/>
      <w:szCs w:val="24"/>
    </w:rPr>
  </w:style>
  <w:style w:type="paragraph" w:customStyle="1" w:styleId="F93874C70D8C44D6B0BA71800E08656C3">
    <w:name w:val="F93874C70D8C44D6B0BA71800E08656C3"/>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2">
    <w:name w:val="38BA82FFF2774C26AC6862CFB8BB55DB2"/>
    <w:rsid w:val="00623571"/>
    <w:pPr>
      <w:spacing w:after="180" w:line="240" w:lineRule="auto"/>
      <w:jc w:val="center"/>
      <w:outlineLvl w:val="1"/>
    </w:pPr>
    <w:rPr>
      <w:rFonts w:ascii="Arial" w:eastAsia="Times New Roman" w:hAnsi="Arial" w:cs="Times New Roman"/>
      <w:b/>
      <w:sz w:val="18"/>
      <w:szCs w:val="24"/>
    </w:rPr>
  </w:style>
  <w:style w:type="paragraph" w:customStyle="1" w:styleId="8767CCE5C7C749C29833C80B52C2E589">
    <w:name w:val="8767CCE5C7C749C29833C80B52C2E589"/>
    <w:rsid w:val="00623571"/>
  </w:style>
  <w:style w:type="paragraph" w:customStyle="1" w:styleId="5E92E7D27CD74AB6A7659171C72AC2AF">
    <w:name w:val="5E92E7D27CD74AB6A7659171C72AC2AF"/>
    <w:rsid w:val="00623571"/>
  </w:style>
  <w:style w:type="paragraph" w:customStyle="1" w:styleId="F93874C70D8C44D6B0BA71800E08656C4">
    <w:name w:val="F93874C70D8C44D6B0BA71800E08656C4"/>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3">
    <w:name w:val="38BA82FFF2774C26AC6862CFB8BB55DB3"/>
    <w:rsid w:val="00623571"/>
    <w:pPr>
      <w:spacing w:after="180" w:line="240" w:lineRule="auto"/>
      <w:jc w:val="center"/>
      <w:outlineLvl w:val="1"/>
    </w:pPr>
    <w:rPr>
      <w:rFonts w:ascii="Arial" w:eastAsia="Times New Roman" w:hAnsi="Arial" w:cs="Times New Roman"/>
      <w:b/>
      <w:sz w:val="18"/>
      <w:szCs w:val="24"/>
    </w:rPr>
  </w:style>
  <w:style w:type="paragraph" w:customStyle="1" w:styleId="5E92E7D27CD74AB6A7659171C72AC2AF1">
    <w:name w:val="5E92E7D27CD74AB6A7659171C72AC2AF1"/>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8767CCE5C7C749C29833C80B52C2E5891">
    <w:name w:val="8767CCE5C7C749C29833C80B52C2E5891"/>
    <w:rsid w:val="00623571"/>
    <w:pPr>
      <w:tabs>
        <w:tab w:val="center" w:pos="4513"/>
        <w:tab w:val="right" w:pos="9026"/>
      </w:tabs>
      <w:spacing w:after="180" w:line="240" w:lineRule="auto"/>
      <w:jc w:val="both"/>
    </w:pPr>
    <w:rPr>
      <w:rFonts w:ascii="Arial" w:eastAsia="Times New Roman" w:hAnsi="Arial" w:cs="Times New Roman"/>
      <w:sz w:val="18"/>
      <w:szCs w:val="20"/>
    </w:rPr>
  </w:style>
  <w:style w:type="paragraph" w:customStyle="1" w:styleId="E0916833A0FC4C2E9BC2E83FE156B712">
    <w:name w:val="E0916833A0FC4C2E9BC2E83FE156B712"/>
    <w:rsid w:val="00623571"/>
  </w:style>
  <w:style w:type="paragraph" w:customStyle="1" w:styleId="B046F90048CB4F0380F99889E7477724">
    <w:name w:val="B046F90048CB4F0380F99889E7477724"/>
    <w:rsid w:val="00623571"/>
  </w:style>
  <w:style w:type="paragraph" w:customStyle="1" w:styleId="C70660930130498FA323F3FBE369D82B">
    <w:name w:val="C70660930130498FA323F3FBE369D82B"/>
    <w:rsid w:val="00623571"/>
  </w:style>
  <w:style w:type="paragraph" w:customStyle="1" w:styleId="A295AAC96E4241A4AC1C84E5740C8336">
    <w:name w:val="A295AAC96E4241A4AC1C84E5740C8336"/>
    <w:rsid w:val="00623571"/>
  </w:style>
  <w:style w:type="paragraph" w:customStyle="1" w:styleId="F85BFE6A0295384585A10CBB73BD69F8">
    <w:name w:val="F85BFE6A0295384585A10CBB73BD69F8"/>
    <w:rsid w:val="00590639"/>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01EBB-03B4-4346-BD01-5862EF2BB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1891</Words>
  <Characters>10781</Characters>
  <Application>Microsoft Macintosh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Drug Delivery to the Lungs 20</vt:lpstr>
    </vt:vector>
  </TitlesOfParts>
  <Company>3M</Company>
  <LinksUpToDate>false</LinksUpToDate>
  <CharactersWithSpaces>12647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 Delivery to the Lungs 20</dc:title>
  <dc:creator>UK000470</dc:creator>
  <cp:lastModifiedBy>Dr Jag Shur</cp:lastModifiedBy>
  <cp:revision>2</cp:revision>
  <cp:lastPrinted>2015-06-18T14:58:00Z</cp:lastPrinted>
  <dcterms:created xsi:type="dcterms:W3CDTF">2017-10-03T16:32:00Z</dcterms:created>
  <dcterms:modified xsi:type="dcterms:W3CDTF">2017-10-03T16:32:00Z</dcterms:modified>
</cp:coreProperties>
</file>