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64169541" w:rsidR="000E77D5" w:rsidRPr="00160344" w:rsidRDefault="00E51B00" w:rsidP="00AD115D">
      <w:pPr>
        <w:pStyle w:val="DDLTitle"/>
      </w:pPr>
      <w:sdt>
        <w:sdtPr>
          <w:alias w:val="Title"/>
          <w:tag w:val="Title"/>
          <w:id w:val="-912845432"/>
          <w:lock w:val="sdtLocked"/>
          <w:placeholder>
            <w:docPart w:val="F93874C70D8C44D6B0BA71800E08656C"/>
          </w:placeholder>
        </w:sdtPr>
        <w:sdtEndPr/>
        <w:sdtContent>
          <w:r w:rsidR="000C06AB">
            <w:t xml:space="preserve">Enhancing </w:t>
          </w:r>
          <w:r w:rsidR="00BE0DF0">
            <w:t xml:space="preserve">the </w:t>
          </w:r>
          <w:r w:rsidR="005C6CCA">
            <w:t xml:space="preserve">intranasal </w:t>
          </w:r>
          <w:r w:rsidR="00CC28CD">
            <w:t>delivery</w:t>
          </w:r>
          <w:r w:rsidR="00A0430E">
            <w:t xml:space="preserve"> of</w:t>
          </w:r>
          <w:r w:rsidR="00CC28CD">
            <w:t xml:space="preserve"> </w:t>
          </w:r>
          <w:r w:rsidR="00BE0DF0">
            <w:t xml:space="preserve">mRNA </w:t>
          </w:r>
          <w:r w:rsidR="00CC28CD">
            <w:t xml:space="preserve">therapeutics using a novel thermosensitive </w:t>
          </w:r>
          <w:r w:rsidR="00D30437">
            <w:t xml:space="preserve">polymer. </w:t>
          </w:r>
          <w:r w:rsidR="00BE0DF0">
            <w:t xml:space="preserve"> </w:t>
          </w:r>
          <w:r w:rsidR="00EF6414">
            <w:t xml:space="preserve"> </w:t>
          </w:r>
        </w:sdtContent>
      </w:sdt>
      <w:bookmarkEnd w:id="0"/>
    </w:p>
    <w:bookmarkStart w:id="1" w:name="Author"/>
    <w:p w14:paraId="57DCC0EC" w14:textId="68EBC69F" w:rsidR="00C65A37" w:rsidRPr="00E32A19" w:rsidRDefault="00E51B00" w:rsidP="00AD115D">
      <w:pPr>
        <w:pStyle w:val="DDLSubtitle"/>
        <w:rPr>
          <w:lang w:val="it-IT"/>
        </w:rPr>
      </w:pPr>
      <w:sdt>
        <w:sdtPr>
          <w:rPr>
            <w:u w:val="single"/>
          </w:rPr>
          <w:alias w:val="Main Author"/>
          <w:tag w:val="Main Author"/>
          <w:id w:val="854543900"/>
          <w:lock w:val="sdtLocked"/>
          <w:placeholder>
            <w:docPart w:val="38BA82FFF2774C26AC6862CFB8BB55DB"/>
          </w:placeholder>
        </w:sdtPr>
        <w:sdtEndPr/>
        <w:sdtContent>
          <w:r w:rsidR="00C15AD0" w:rsidRPr="00E32A19">
            <w:rPr>
              <w:lang w:val="it-IT"/>
            </w:rPr>
            <w:t>Juhura G. Almazi</w:t>
          </w:r>
          <w:r w:rsidR="009E6854" w:rsidRPr="00E32A19">
            <w:rPr>
              <w:vertAlign w:val="superscript"/>
              <w:lang w:val="it-IT"/>
            </w:rPr>
            <w:t>1</w:t>
          </w:r>
        </w:sdtContent>
      </w:sdt>
      <w:bookmarkEnd w:id="1"/>
      <w:r w:rsidR="00676DA7" w:rsidRPr="00E32A19">
        <w:rPr>
          <w:lang w:val="it-IT"/>
        </w:rPr>
        <w:t>,</w:t>
      </w:r>
      <w:r w:rsidR="00BA60EA" w:rsidRPr="00E32A19">
        <w:rPr>
          <w:lang w:val="it-IT"/>
        </w:rPr>
        <w:t xml:space="preserve"> </w:t>
      </w:r>
      <w:r w:rsidR="009D412D" w:rsidRPr="00E32A19">
        <w:rPr>
          <w:lang w:val="it-IT"/>
        </w:rPr>
        <w:t>Antonella Granata</w:t>
      </w:r>
      <w:r w:rsidR="009E6854" w:rsidRPr="00E32A19">
        <w:rPr>
          <w:vertAlign w:val="superscript"/>
          <w:lang w:val="it-IT"/>
        </w:rPr>
        <w:t>1</w:t>
      </w:r>
      <w:r w:rsidR="009D412D" w:rsidRPr="00E32A19">
        <w:rPr>
          <w:lang w:val="it-IT"/>
        </w:rPr>
        <w:t xml:space="preserve">, </w:t>
      </w:r>
      <w:r w:rsidR="00EC1C50">
        <w:rPr>
          <w:lang w:val="it-IT"/>
        </w:rPr>
        <w:t xml:space="preserve">Dinh </w:t>
      </w:r>
      <w:r w:rsidR="00BA178A">
        <w:rPr>
          <w:lang w:val="it-IT"/>
        </w:rPr>
        <w:t>B. T.  Ngo</w:t>
      </w:r>
      <w:r w:rsidR="00BA178A" w:rsidRPr="00BA178A">
        <w:rPr>
          <w:vertAlign w:val="superscript"/>
          <w:lang w:val="it-IT"/>
        </w:rPr>
        <w:t>1</w:t>
      </w:r>
      <w:r w:rsidR="00BA178A">
        <w:rPr>
          <w:lang w:val="it-IT"/>
        </w:rPr>
        <w:t xml:space="preserve">, </w:t>
      </w:r>
      <w:r w:rsidR="009500D2">
        <w:rPr>
          <w:lang w:val="it-IT"/>
        </w:rPr>
        <w:t>Simin Maleknia</w:t>
      </w:r>
      <w:r w:rsidR="009500D2">
        <w:rPr>
          <w:vertAlign w:val="superscript"/>
          <w:lang w:val="it-IT"/>
        </w:rPr>
        <w:t>2</w:t>
      </w:r>
      <w:r w:rsidR="009500D2">
        <w:rPr>
          <w:lang w:val="it-IT"/>
        </w:rPr>
        <w:t xml:space="preserve">, </w:t>
      </w:r>
      <w:r w:rsidR="008A0FCD" w:rsidRPr="008A0FCD">
        <w:rPr>
          <w:lang w:val="it-IT"/>
        </w:rPr>
        <w:t>Farshad Oveissi</w:t>
      </w:r>
      <w:r w:rsidR="008A0FCD">
        <w:rPr>
          <w:vertAlign w:val="superscript"/>
          <w:lang w:val="it-IT"/>
        </w:rPr>
        <w:t>2</w:t>
      </w:r>
      <w:r w:rsidR="008A0FCD">
        <w:rPr>
          <w:lang w:val="it-IT"/>
        </w:rPr>
        <w:t>,</w:t>
      </w:r>
      <w:r w:rsidR="00BA60EA" w:rsidRPr="00E32A19">
        <w:rPr>
          <w:lang w:val="it-IT"/>
        </w:rPr>
        <w:t xml:space="preserve"> </w:t>
      </w:r>
      <w:r w:rsidR="009500D2" w:rsidRPr="00E32A19">
        <w:rPr>
          <w:lang w:val="it-IT"/>
        </w:rPr>
        <w:t>Ali Fathi</w:t>
      </w:r>
      <w:r w:rsidR="009500D2" w:rsidRPr="00E32A19">
        <w:rPr>
          <w:vertAlign w:val="superscript"/>
          <w:lang w:val="it-IT"/>
        </w:rPr>
        <w:t>2</w:t>
      </w:r>
      <w:r w:rsidR="00BA60EA" w:rsidRPr="00E32A19">
        <w:rPr>
          <w:lang w:val="it-IT"/>
        </w:rPr>
        <w:t>, Paul Young</w:t>
      </w:r>
      <w:r w:rsidR="00BA60EA" w:rsidRPr="00E32A19">
        <w:rPr>
          <w:vertAlign w:val="superscript"/>
          <w:lang w:val="it-IT"/>
        </w:rPr>
        <w:t>1,3,</w:t>
      </w:r>
      <w:r w:rsidR="00C919C6" w:rsidRPr="00E32A19">
        <w:rPr>
          <w:vertAlign w:val="superscript"/>
          <w:lang w:val="it-IT"/>
        </w:rPr>
        <w:t>4</w:t>
      </w:r>
      <w:r w:rsidR="00BA60EA" w:rsidRPr="00E32A19">
        <w:rPr>
          <w:lang w:val="it-IT"/>
        </w:rPr>
        <w:t>, Daniela Traini</w:t>
      </w:r>
      <w:r w:rsidR="00C919C6" w:rsidRPr="00E32A19">
        <w:rPr>
          <w:vertAlign w:val="superscript"/>
          <w:lang w:val="it-IT"/>
        </w:rPr>
        <w:t>3,5</w:t>
      </w:r>
      <w:r w:rsidR="00BA60EA" w:rsidRPr="00E32A19">
        <w:rPr>
          <w:lang w:val="it-IT"/>
        </w:rPr>
        <w:t xml:space="preserve">, </w:t>
      </w:r>
      <w:r w:rsidR="00BA60EA" w:rsidRPr="00E32A19">
        <w:rPr>
          <w:u w:val="single"/>
          <w:lang w:val="it-IT"/>
        </w:rPr>
        <w:t>Hui Xin Ong</w:t>
      </w:r>
      <w:r w:rsidR="00BA60EA" w:rsidRPr="00E32A19">
        <w:rPr>
          <w:u w:val="single"/>
          <w:vertAlign w:val="superscript"/>
          <w:lang w:val="it-IT"/>
        </w:rPr>
        <w:t>1</w:t>
      </w:r>
      <w:r w:rsidR="00BA60EA" w:rsidRPr="00E32A19">
        <w:rPr>
          <w:vertAlign w:val="superscript"/>
          <w:lang w:val="it-IT"/>
        </w:rPr>
        <w:t>,</w:t>
      </w:r>
      <w:r w:rsidR="00C919C6" w:rsidRPr="00E32A19">
        <w:rPr>
          <w:vertAlign w:val="superscript"/>
          <w:lang w:val="it-IT"/>
        </w:rPr>
        <w:t>3</w:t>
      </w:r>
      <w:r w:rsidR="001F3482" w:rsidRPr="00E32A19">
        <w:rPr>
          <w:vertAlign w:val="superscript"/>
          <w:lang w:val="it-IT"/>
        </w:rPr>
        <w:t>,</w:t>
      </w:r>
      <w:r w:rsidR="00E32A19" w:rsidRPr="00E32A19">
        <w:rPr>
          <w:vertAlign w:val="superscript"/>
          <w:lang w:val="it-IT"/>
        </w:rPr>
        <w:t>5</w:t>
      </w:r>
    </w:p>
    <w:p w14:paraId="47E2BC88" w14:textId="134E7D4C" w:rsidR="00D122A2" w:rsidRPr="00E51B00" w:rsidRDefault="00D122A2" w:rsidP="0051688A">
      <w:pPr>
        <w:pStyle w:val="DDLHeading1"/>
        <w:spacing w:before="0" w:after="0"/>
        <w:ind w:left="-142"/>
        <w:jc w:val="center"/>
        <w:rPr>
          <w:b w:val="0"/>
          <w:bCs w:val="0"/>
          <w:kern w:val="0"/>
          <w:szCs w:val="24"/>
          <w:lang w:val="it-IT"/>
        </w:rPr>
      </w:pPr>
      <w:r w:rsidRPr="00E51B00">
        <w:rPr>
          <w:b w:val="0"/>
          <w:bCs w:val="0"/>
          <w:kern w:val="0"/>
          <w:szCs w:val="24"/>
          <w:vertAlign w:val="superscript"/>
          <w:lang w:val="it-IT"/>
        </w:rPr>
        <w:t>1</w:t>
      </w:r>
      <w:r w:rsidRPr="00E51B00">
        <w:rPr>
          <w:b w:val="0"/>
          <w:bCs w:val="0"/>
          <w:kern w:val="0"/>
          <w:szCs w:val="24"/>
          <w:lang w:val="it-IT"/>
        </w:rPr>
        <w:t>Ab Initio Pharma Pty Ltd, Sydney, NSW, Australia</w:t>
      </w:r>
    </w:p>
    <w:p w14:paraId="62C89AC1" w14:textId="19B82756" w:rsidR="009E6854" w:rsidRPr="005B38EC" w:rsidRDefault="009E6854" w:rsidP="0051688A">
      <w:pPr>
        <w:pStyle w:val="DDLHeading1"/>
        <w:spacing w:before="0" w:after="0"/>
        <w:ind w:left="-142"/>
        <w:jc w:val="center"/>
        <w:rPr>
          <w:b w:val="0"/>
          <w:bCs w:val="0"/>
          <w:kern w:val="0"/>
          <w:szCs w:val="24"/>
        </w:rPr>
      </w:pPr>
      <w:r>
        <w:rPr>
          <w:b w:val="0"/>
          <w:bCs w:val="0"/>
          <w:kern w:val="0"/>
          <w:szCs w:val="24"/>
          <w:vertAlign w:val="superscript"/>
        </w:rPr>
        <w:t>2</w:t>
      </w:r>
      <w:r w:rsidRPr="005B38EC">
        <w:rPr>
          <w:b w:val="0"/>
          <w:bCs w:val="0"/>
          <w:kern w:val="0"/>
          <w:szCs w:val="24"/>
        </w:rPr>
        <w:t>Tetratherix Technology Pty Ltd,</w:t>
      </w:r>
      <w:r>
        <w:rPr>
          <w:b w:val="0"/>
          <w:bCs w:val="0"/>
          <w:kern w:val="0"/>
          <w:szCs w:val="24"/>
        </w:rPr>
        <w:t xml:space="preserve"> </w:t>
      </w:r>
      <w:r w:rsidRPr="005B38EC">
        <w:rPr>
          <w:b w:val="0"/>
          <w:bCs w:val="0"/>
          <w:kern w:val="0"/>
          <w:szCs w:val="24"/>
        </w:rPr>
        <w:t>Sydney, NS</w:t>
      </w:r>
      <w:r>
        <w:rPr>
          <w:b w:val="0"/>
          <w:bCs w:val="0"/>
          <w:kern w:val="0"/>
          <w:szCs w:val="24"/>
        </w:rPr>
        <w:t>W</w:t>
      </w:r>
      <w:r w:rsidRPr="005B38EC">
        <w:rPr>
          <w:b w:val="0"/>
          <w:bCs w:val="0"/>
          <w:kern w:val="0"/>
          <w:szCs w:val="24"/>
        </w:rPr>
        <w:t>, Australia</w:t>
      </w:r>
    </w:p>
    <w:p w14:paraId="066EBACA" w14:textId="2FE5919E" w:rsidR="0045475A" w:rsidRDefault="009E6854" w:rsidP="0051688A">
      <w:pPr>
        <w:pStyle w:val="DDLAddress1"/>
        <w:spacing w:after="0"/>
        <w:ind w:left="-142"/>
      </w:pPr>
      <w:r>
        <w:rPr>
          <w:vertAlign w:val="superscript"/>
        </w:rPr>
        <w:t>3</w:t>
      </w:r>
      <w:r w:rsidR="0045475A">
        <w:t xml:space="preserve">Respiratory Technology, </w:t>
      </w:r>
      <w:r w:rsidR="0045475A" w:rsidRPr="00E2007B">
        <w:t xml:space="preserve">The Woolcock Institute of Medical Research, </w:t>
      </w:r>
      <w:r w:rsidR="0045475A">
        <w:t>Sydney, NSW 2037</w:t>
      </w:r>
      <w:r w:rsidR="0045475A" w:rsidRPr="00E2007B">
        <w:t>, Australia</w:t>
      </w:r>
    </w:p>
    <w:p w14:paraId="4076812E" w14:textId="1A17EE9C" w:rsidR="00C919C6" w:rsidRDefault="00C919C6" w:rsidP="0051688A">
      <w:pPr>
        <w:pStyle w:val="DDLAddress2"/>
        <w:spacing w:after="0"/>
        <w:ind w:left="-142"/>
      </w:pPr>
      <w:r>
        <w:rPr>
          <w:vertAlign w:val="superscript"/>
        </w:rPr>
        <w:t>4</w:t>
      </w:r>
      <w:r w:rsidRPr="00524A91">
        <w:t xml:space="preserve">Department of Marketing, Business School, Macquarie University, Sydney, </w:t>
      </w:r>
      <w:r>
        <w:t xml:space="preserve">NSW 2109, </w:t>
      </w:r>
      <w:r w:rsidRPr="00524A91">
        <w:t>Australia</w:t>
      </w:r>
    </w:p>
    <w:p w14:paraId="610078FD" w14:textId="0C54FD97" w:rsidR="0045475A" w:rsidRPr="00F16A83" w:rsidRDefault="00C919C6" w:rsidP="0051688A">
      <w:pPr>
        <w:pStyle w:val="DDLAddress2"/>
        <w:spacing w:after="0"/>
        <w:ind w:left="-142"/>
      </w:pPr>
      <w:r>
        <w:rPr>
          <w:vertAlign w:val="superscript"/>
        </w:rPr>
        <w:t>5</w:t>
      </w:r>
      <w:r w:rsidR="0045475A">
        <w:t xml:space="preserve">Macquarie Medical School, </w:t>
      </w:r>
      <w:r w:rsidR="0045475A" w:rsidRPr="00524A91">
        <w:t xml:space="preserve">Faculty of Medicine, </w:t>
      </w:r>
      <w:r w:rsidR="0045475A">
        <w:t>H</w:t>
      </w:r>
      <w:r w:rsidR="0045475A" w:rsidRPr="00524A91">
        <w:t xml:space="preserve">ealth, and </w:t>
      </w:r>
      <w:r w:rsidR="0045475A">
        <w:t>H</w:t>
      </w:r>
      <w:r w:rsidR="0045475A" w:rsidRPr="00524A91">
        <w:t xml:space="preserve">uman </w:t>
      </w:r>
      <w:r w:rsidR="0045475A">
        <w:t>S</w:t>
      </w:r>
      <w:r w:rsidR="0045475A" w:rsidRPr="00524A91">
        <w:t>ciences, Macquarie University, Sydney,</w:t>
      </w:r>
      <w:r w:rsidR="0045475A">
        <w:t xml:space="preserve"> NSW 2109,</w:t>
      </w:r>
      <w:r w:rsidR="0045475A" w:rsidRPr="00524A91">
        <w:t xml:space="preserve"> Australia</w:t>
      </w:r>
    </w:p>
    <w:p w14:paraId="57DCC0EF" w14:textId="1475A788" w:rsidR="00C65A37" w:rsidRPr="00582113" w:rsidRDefault="00C65A37" w:rsidP="0045737A">
      <w:pPr>
        <w:pStyle w:val="DDLHeading1"/>
        <w:spacing w:before="120" w:after="120"/>
        <w:rPr>
          <w:sz w:val="20"/>
          <w:szCs w:val="20"/>
        </w:rPr>
      </w:pPr>
      <w:r w:rsidRPr="00582113">
        <w:rPr>
          <w:sz w:val="20"/>
          <w:szCs w:val="20"/>
        </w:rPr>
        <w:t>Summary</w:t>
      </w:r>
      <w:r w:rsidR="004A2752">
        <w:rPr>
          <w:sz w:val="20"/>
          <w:szCs w:val="20"/>
        </w:rPr>
        <w:t xml:space="preserve"> </w:t>
      </w:r>
    </w:p>
    <w:p w14:paraId="5E1F8EBD" w14:textId="382FA1AC" w:rsidR="004D7ABF" w:rsidRPr="000F47CC" w:rsidRDefault="00DC6D2A" w:rsidP="00D156FE">
      <w:pPr>
        <w:pStyle w:val="DDLBodyText"/>
        <w:rPr>
          <w:szCs w:val="18"/>
        </w:rPr>
      </w:pPr>
      <w:r w:rsidRPr="00DC6D2A">
        <w:rPr>
          <w:szCs w:val="18"/>
        </w:rPr>
        <w:t xml:space="preserve">Intranasal </w:t>
      </w:r>
      <w:r w:rsidR="009500D2">
        <w:rPr>
          <w:szCs w:val="18"/>
        </w:rPr>
        <w:t>m</w:t>
      </w:r>
      <w:r w:rsidRPr="00DC6D2A">
        <w:rPr>
          <w:szCs w:val="18"/>
        </w:rPr>
        <w:t>RNA administration is an attractive treatment modality for many diseases</w:t>
      </w:r>
      <w:r w:rsidR="009500D2">
        <w:rPr>
          <w:szCs w:val="18"/>
        </w:rPr>
        <w:t>,</w:t>
      </w:r>
      <w:r w:rsidRPr="00DC6D2A">
        <w:rPr>
          <w:szCs w:val="18"/>
        </w:rPr>
        <w:t xml:space="preserve"> including brain tumours and neurodegenerative diseases. </w:t>
      </w:r>
      <w:r w:rsidR="007474C7" w:rsidRPr="002E7F7A">
        <w:rPr>
          <w:szCs w:val="18"/>
        </w:rPr>
        <w:t xml:space="preserve">In this study, a novel </w:t>
      </w:r>
      <w:r w:rsidR="004D7ABF">
        <w:rPr>
          <w:szCs w:val="18"/>
        </w:rPr>
        <w:t xml:space="preserve">proprietary </w:t>
      </w:r>
      <w:r w:rsidR="007474C7" w:rsidRPr="002E7F7A">
        <w:rPr>
          <w:szCs w:val="18"/>
        </w:rPr>
        <w:t xml:space="preserve">synthetic thermosensitive polymer, denoted as TP, is presented as a promising </w:t>
      </w:r>
      <w:r w:rsidR="00143F20">
        <w:rPr>
          <w:szCs w:val="18"/>
        </w:rPr>
        <w:t xml:space="preserve">alternative drug carrier for </w:t>
      </w:r>
      <w:r w:rsidR="009500D2">
        <w:rPr>
          <w:szCs w:val="18"/>
        </w:rPr>
        <w:t xml:space="preserve">nasal </w:t>
      </w:r>
      <w:r w:rsidR="00C0126A">
        <w:rPr>
          <w:szCs w:val="18"/>
        </w:rPr>
        <w:t>delivery of mRNA.</w:t>
      </w:r>
      <w:r w:rsidR="00C15BBD">
        <w:rPr>
          <w:szCs w:val="18"/>
        </w:rPr>
        <w:t xml:space="preserve"> </w:t>
      </w:r>
      <w:r w:rsidR="00447141" w:rsidRPr="00447141">
        <w:rPr>
          <w:szCs w:val="18"/>
        </w:rPr>
        <w:t xml:space="preserve">TP </w:t>
      </w:r>
      <w:r w:rsidR="00447141">
        <w:rPr>
          <w:szCs w:val="18"/>
        </w:rPr>
        <w:t xml:space="preserve">has a </w:t>
      </w:r>
      <w:proofErr w:type="spellStart"/>
      <w:r w:rsidR="00447141">
        <w:rPr>
          <w:szCs w:val="18"/>
        </w:rPr>
        <w:t>thermogelling</w:t>
      </w:r>
      <w:proofErr w:type="spellEnd"/>
      <w:r w:rsidR="00447141">
        <w:rPr>
          <w:szCs w:val="18"/>
        </w:rPr>
        <w:t xml:space="preserve"> property</w:t>
      </w:r>
      <w:r w:rsidR="009500D2">
        <w:rPr>
          <w:szCs w:val="18"/>
        </w:rPr>
        <w:t>, it</w:t>
      </w:r>
      <w:r w:rsidR="00447141">
        <w:rPr>
          <w:szCs w:val="18"/>
        </w:rPr>
        <w:t xml:space="preserve"> remain</w:t>
      </w:r>
      <w:r w:rsidR="00C2780D">
        <w:rPr>
          <w:szCs w:val="18"/>
        </w:rPr>
        <w:t>s</w:t>
      </w:r>
      <w:r w:rsidR="00447141">
        <w:rPr>
          <w:szCs w:val="18"/>
        </w:rPr>
        <w:t xml:space="preserve"> </w:t>
      </w:r>
      <w:r w:rsidR="00447141" w:rsidRPr="00447141">
        <w:rPr>
          <w:szCs w:val="18"/>
        </w:rPr>
        <w:t>in liquid state at room temperature</w:t>
      </w:r>
      <w:r w:rsidR="009500D2">
        <w:rPr>
          <w:szCs w:val="18"/>
        </w:rPr>
        <w:t xml:space="preserve"> and</w:t>
      </w:r>
      <w:r w:rsidR="00447141" w:rsidRPr="00447141">
        <w:rPr>
          <w:szCs w:val="18"/>
        </w:rPr>
        <w:t xml:space="preserve"> undergo</w:t>
      </w:r>
      <w:r w:rsidR="009500D2">
        <w:rPr>
          <w:szCs w:val="18"/>
        </w:rPr>
        <w:t>es</w:t>
      </w:r>
      <w:r w:rsidR="00447141" w:rsidRPr="00447141">
        <w:rPr>
          <w:szCs w:val="18"/>
        </w:rPr>
        <w:t xml:space="preserve"> a phase transition to form a hydrogel with a mucoadhesive characteristic at physiological temperature</w:t>
      </w:r>
      <w:r w:rsidR="00447141">
        <w:rPr>
          <w:szCs w:val="18"/>
        </w:rPr>
        <w:t>.</w:t>
      </w:r>
      <w:r w:rsidR="00447141" w:rsidRPr="00447141">
        <w:rPr>
          <w:szCs w:val="18"/>
        </w:rPr>
        <w:t xml:space="preserve"> </w:t>
      </w:r>
      <w:r w:rsidR="00C15BBD">
        <w:rPr>
          <w:szCs w:val="18"/>
        </w:rPr>
        <w:t xml:space="preserve">A </w:t>
      </w:r>
      <w:r w:rsidR="00C15BBD" w:rsidRPr="00C15BBD">
        <w:rPr>
          <w:szCs w:val="18"/>
        </w:rPr>
        <w:t>series of studies was conducted to characterise the interaction of mRNA, coding the enhanced green fluorescent protein (EGFP), with TP to</w:t>
      </w:r>
      <w:r w:rsidR="00C2780D">
        <w:rPr>
          <w:szCs w:val="18"/>
        </w:rPr>
        <w:t xml:space="preserve"> </w:t>
      </w:r>
      <w:r w:rsidR="009500D2">
        <w:rPr>
          <w:szCs w:val="18"/>
        </w:rPr>
        <w:t>demonstrate</w:t>
      </w:r>
      <w:r w:rsidR="00C15BBD" w:rsidRPr="00C15BBD">
        <w:rPr>
          <w:szCs w:val="18"/>
        </w:rPr>
        <w:t xml:space="preserve"> the potential of </w:t>
      </w:r>
      <w:r w:rsidR="00C15BBD">
        <w:rPr>
          <w:szCs w:val="18"/>
        </w:rPr>
        <w:t>the polymer</w:t>
      </w:r>
      <w:r w:rsidR="00C15BBD" w:rsidRPr="00C15BBD">
        <w:rPr>
          <w:szCs w:val="18"/>
        </w:rPr>
        <w:t xml:space="preserve"> </w:t>
      </w:r>
      <w:r w:rsidR="00A53BC1">
        <w:rPr>
          <w:szCs w:val="18"/>
        </w:rPr>
        <w:t>to form nanoparticles for the</w:t>
      </w:r>
      <w:r w:rsidR="00C15BBD" w:rsidRPr="00C15BBD">
        <w:rPr>
          <w:szCs w:val="18"/>
        </w:rPr>
        <w:t xml:space="preserve"> </w:t>
      </w:r>
      <w:r w:rsidR="00C15BBD">
        <w:rPr>
          <w:szCs w:val="18"/>
        </w:rPr>
        <w:t xml:space="preserve">intranasal </w:t>
      </w:r>
      <w:r w:rsidR="00A53BC1">
        <w:rPr>
          <w:szCs w:val="18"/>
        </w:rPr>
        <w:t>administration of</w:t>
      </w:r>
      <w:r w:rsidR="00C15BBD" w:rsidRPr="00C15BBD">
        <w:rPr>
          <w:szCs w:val="18"/>
        </w:rPr>
        <w:t xml:space="preserve"> mRNA therapeutics. </w:t>
      </w:r>
      <w:r w:rsidR="00465A02">
        <w:rPr>
          <w:szCs w:val="18"/>
        </w:rPr>
        <w:t>T</w:t>
      </w:r>
      <w:r w:rsidR="0051688A">
        <w:rPr>
          <w:szCs w:val="18"/>
        </w:rPr>
        <w:t>wo</w:t>
      </w:r>
      <w:r w:rsidR="00465A02">
        <w:rPr>
          <w:szCs w:val="18"/>
        </w:rPr>
        <w:t xml:space="preserve"> </w:t>
      </w:r>
      <w:r w:rsidR="00834F4E">
        <w:rPr>
          <w:szCs w:val="18"/>
        </w:rPr>
        <w:t xml:space="preserve">concentrations </w:t>
      </w:r>
      <w:r w:rsidR="000C5A4B">
        <w:rPr>
          <w:szCs w:val="18"/>
        </w:rPr>
        <w:t xml:space="preserve">of TP </w:t>
      </w:r>
      <w:r w:rsidR="00465A02">
        <w:rPr>
          <w:szCs w:val="18"/>
        </w:rPr>
        <w:t xml:space="preserve">solutions </w:t>
      </w:r>
      <w:r w:rsidR="000C5A4B">
        <w:rPr>
          <w:szCs w:val="18"/>
        </w:rPr>
        <w:t>(</w:t>
      </w:r>
      <w:r w:rsidR="00465A02">
        <w:rPr>
          <w:szCs w:val="18"/>
        </w:rPr>
        <w:t>25 mg/mL</w:t>
      </w:r>
      <w:r w:rsidR="004A6D2E">
        <w:rPr>
          <w:szCs w:val="18"/>
        </w:rPr>
        <w:t>- TP25</w:t>
      </w:r>
      <w:r w:rsidR="00465A02">
        <w:rPr>
          <w:szCs w:val="18"/>
        </w:rPr>
        <w:t xml:space="preserve"> and 3</w:t>
      </w:r>
      <w:r w:rsidR="002B1B20">
        <w:rPr>
          <w:szCs w:val="18"/>
        </w:rPr>
        <w:t>5</w:t>
      </w:r>
      <w:r w:rsidR="00465A02">
        <w:rPr>
          <w:szCs w:val="18"/>
        </w:rPr>
        <w:t xml:space="preserve"> mg/mL</w:t>
      </w:r>
      <w:r w:rsidR="004A6D2E">
        <w:rPr>
          <w:szCs w:val="18"/>
        </w:rPr>
        <w:t>-TP3</w:t>
      </w:r>
      <w:r w:rsidR="002B1B20">
        <w:rPr>
          <w:szCs w:val="18"/>
        </w:rPr>
        <w:t>5</w:t>
      </w:r>
      <w:r w:rsidR="00DF6559">
        <w:rPr>
          <w:szCs w:val="18"/>
        </w:rPr>
        <w:t xml:space="preserve">) were formulated with EGFP and </w:t>
      </w:r>
      <w:r w:rsidR="00FA1C58">
        <w:rPr>
          <w:szCs w:val="18"/>
        </w:rPr>
        <w:t>lipofectamine lipid</w:t>
      </w:r>
      <w:r w:rsidR="008C3742">
        <w:rPr>
          <w:szCs w:val="18"/>
        </w:rPr>
        <w:t>s</w:t>
      </w:r>
      <w:r w:rsidR="00862468">
        <w:rPr>
          <w:szCs w:val="18"/>
        </w:rPr>
        <w:t xml:space="preserve"> </w:t>
      </w:r>
      <w:r w:rsidR="003E6EFA">
        <w:rPr>
          <w:szCs w:val="18"/>
        </w:rPr>
        <w:t>and was found to generate nanoparticles of approximately 40 nm</w:t>
      </w:r>
      <w:r w:rsidR="000F0282">
        <w:rPr>
          <w:szCs w:val="18"/>
        </w:rPr>
        <w:t xml:space="preserve">. </w:t>
      </w:r>
      <w:r w:rsidR="00EC2FAE">
        <w:rPr>
          <w:szCs w:val="18"/>
        </w:rPr>
        <w:t>The TP formulations were</w:t>
      </w:r>
      <w:r w:rsidR="005C0C02">
        <w:rPr>
          <w:szCs w:val="18"/>
        </w:rPr>
        <w:t xml:space="preserve"> also</w:t>
      </w:r>
      <w:r w:rsidR="000F47CC">
        <w:rPr>
          <w:szCs w:val="18"/>
        </w:rPr>
        <w:t xml:space="preserve"> able to stabilise mRNA lipofectamine particles for at least 7 days at ambient conditions and displaying EGFP mRNA expression </w:t>
      </w:r>
      <w:proofErr w:type="gramStart"/>
      <w:r w:rsidR="000F47CC">
        <w:rPr>
          <w:szCs w:val="18"/>
        </w:rPr>
        <w:t>similar to</w:t>
      </w:r>
      <w:proofErr w:type="gramEnd"/>
      <w:r w:rsidR="000F47CC">
        <w:rPr>
          <w:szCs w:val="18"/>
        </w:rPr>
        <w:t xml:space="preserve"> that of the positive control, fresh mRNA formulation. </w:t>
      </w:r>
      <w:r w:rsidR="0033400E">
        <w:rPr>
          <w:lang w:val="en-US"/>
        </w:rPr>
        <w:t xml:space="preserve">When the formulation was </w:t>
      </w:r>
      <w:r w:rsidR="00C9290C" w:rsidRPr="009F64F9">
        <w:t xml:space="preserve">aerosolised using the </w:t>
      </w:r>
      <w:proofErr w:type="spellStart"/>
      <w:r w:rsidR="00C9290C" w:rsidRPr="009F64F9">
        <w:t>Bivax</w:t>
      </w:r>
      <w:proofErr w:type="spellEnd"/>
      <w:r w:rsidR="00C9290C" w:rsidRPr="009F64F9">
        <w:t xml:space="preserve"> nasal spray device</w:t>
      </w:r>
      <w:r w:rsidR="004D7ABF">
        <w:t xml:space="preserve"> (Aptar)</w:t>
      </w:r>
      <w:r w:rsidR="00C9290C">
        <w:t xml:space="preserve">, the aerosol </w:t>
      </w:r>
      <w:r w:rsidR="00C9290C" w:rsidRPr="009F64F9">
        <w:t xml:space="preserve">particle size </w:t>
      </w:r>
      <w:r w:rsidR="00C9290C">
        <w:t xml:space="preserve">distribution </w:t>
      </w:r>
      <w:r w:rsidR="00C9290C" w:rsidRPr="009F64F9">
        <w:t>was</w:t>
      </w:r>
      <w:r w:rsidR="004D7ABF" w:rsidRPr="004D7ABF">
        <w:t xml:space="preserve"> larger in formulations containing the TP polymer</w:t>
      </w:r>
      <w:r w:rsidR="004D7ABF">
        <w:t>.</w:t>
      </w:r>
      <w:r w:rsidR="00FA2965" w:rsidRPr="00FA2965">
        <w:t xml:space="preserve"> </w:t>
      </w:r>
      <w:r w:rsidR="00E54AE8">
        <w:t>Nevertheless, t</w:t>
      </w:r>
      <w:r w:rsidR="00FA2965" w:rsidRPr="00FA2965">
        <w:t xml:space="preserve">he formulations are appropriate for nasal delivery as most of the </w:t>
      </w:r>
      <w:r w:rsidR="00181A7B">
        <w:t>aerosols</w:t>
      </w:r>
      <w:r w:rsidR="00FA2965" w:rsidRPr="00FA2965">
        <w:t xml:space="preserve"> are above 10µm</w:t>
      </w:r>
      <w:r w:rsidR="004D7ABF">
        <w:t xml:space="preserve">. </w:t>
      </w:r>
      <w:r w:rsidR="004D7ABF" w:rsidRPr="004D7ABF">
        <w:t xml:space="preserve">Additionally, deposition of the 250 µL spray of TP25 and TP35 formulations was successful, while </w:t>
      </w:r>
      <w:r w:rsidR="000F47CC">
        <w:t>the control without the carrier</w:t>
      </w:r>
      <w:r w:rsidR="004D7ABF" w:rsidRPr="004D7ABF">
        <w:t xml:space="preserve"> showed significant nasal dripping. This further demonstrates the suitability of TP25 and TP35 as alternative drug carrier polymers</w:t>
      </w:r>
      <w:r w:rsidR="00A92B61">
        <w:t>.</w:t>
      </w:r>
    </w:p>
    <w:p w14:paraId="57DCC0F1" w14:textId="00A8B5EC" w:rsidR="00E14DBF" w:rsidRDefault="00E14DBF" w:rsidP="0045737A">
      <w:pPr>
        <w:pStyle w:val="DDLBodyText"/>
        <w:spacing w:after="120"/>
        <w:rPr>
          <w:b/>
          <w:sz w:val="20"/>
        </w:rPr>
      </w:pPr>
      <w:r w:rsidRPr="00582113">
        <w:rPr>
          <w:b/>
          <w:sz w:val="20"/>
        </w:rPr>
        <w:t>Key Message</w:t>
      </w:r>
      <w:r w:rsidR="004A2752">
        <w:rPr>
          <w:b/>
          <w:sz w:val="20"/>
        </w:rPr>
        <w:t xml:space="preserve"> </w:t>
      </w:r>
    </w:p>
    <w:p w14:paraId="4263BE69" w14:textId="019B8830" w:rsidR="00C74931" w:rsidRPr="006503FD" w:rsidRDefault="006503FD" w:rsidP="0045737A">
      <w:pPr>
        <w:pStyle w:val="DDLBodyText"/>
        <w:spacing w:after="120"/>
        <w:rPr>
          <w:bCs/>
          <w:szCs w:val="18"/>
        </w:rPr>
      </w:pPr>
      <w:r>
        <w:rPr>
          <w:bCs/>
          <w:szCs w:val="18"/>
        </w:rPr>
        <w:t xml:space="preserve">The use of </w:t>
      </w:r>
      <w:r w:rsidR="00DF1ED1">
        <w:rPr>
          <w:bCs/>
          <w:szCs w:val="18"/>
        </w:rPr>
        <w:t xml:space="preserve">a novel </w:t>
      </w:r>
      <w:r w:rsidR="00290ADD">
        <w:rPr>
          <w:bCs/>
          <w:szCs w:val="18"/>
        </w:rPr>
        <w:t>T</w:t>
      </w:r>
      <w:r w:rsidR="007474C7">
        <w:rPr>
          <w:bCs/>
          <w:szCs w:val="18"/>
        </w:rPr>
        <w:t>P</w:t>
      </w:r>
      <w:r w:rsidR="00A8200F">
        <w:rPr>
          <w:bCs/>
          <w:szCs w:val="18"/>
        </w:rPr>
        <w:t xml:space="preserve"> thermosensitive polymer </w:t>
      </w:r>
      <w:r w:rsidR="002B15F3">
        <w:rPr>
          <w:bCs/>
          <w:szCs w:val="18"/>
        </w:rPr>
        <w:t xml:space="preserve">shows promising result as an alternative </w:t>
      </w:r>
      <w:r w:rsidR="000F47CC">
        <w:rPr>
          <w:bCs/>
          <w:szCs w:val="18"/>
        </w:rPr>
        <w:t>vehicle for intranasal delivery of</w:t>
      </w:r>
      <w:r w:rsidR="00220AF5">
        <w:rPr>
          <w:bCs/>
          <w:szCs w:val="18"/>
        </w:rPr>
        <w:t xml:space="preserve"> </w:t>
      </w:r>
      <w:r w:rsidR="00473F01">
        <w:rPr>
          <w:bCs/>
          <w:szCs w:val="18"/>
        </w:rPr>
        <w:t xml:space="preserve">mRNA </w:t>
      </w:r>
      <w:r w:rsidR="00927543">
        <w:rPr>
          <w:bCs/>
          <w:szCs w:val="18"/>
        </w:rPr>
        <w:t>with</w:t>
      </w:r>
      <w:r w:rsidR="00473F01">
        <w:rPr>
          <w:bCs/>
          <w:szCs w:val="18"/>
        </w:rPr>
        <w:t xml:space="preserve"> improved delivery to the </w:t>
      </w:r>
      <w:r w:rsidR="00927543">
        <w:rPr>
          <w:bCs/>
          <w:szCs w:val="18"/>
        </w:rPr>
        <w:t>nasal cells</w:t>
      </w:r>
      <w:r w:rsidR="00473F01">
        <w:rPr>
          <w:bCs/>
          <w:szCs w:val="18"/>
        </w:rPr>
        <w:t xml:space="preserve">, </w:t>
      </w:r>
      <w:r w:rsidR="00927543">
        <w:rPr>
          <w:bCs/>
          <w:szCs w:val="18"/>
        </w:rPr>
        <w:t xml:space="preserve">increased </w:t>
      </w:r>
      <w:r w:rsidR="00473F01">
        <w:rPr>
          <w:bCs/>
          <w:szCs w:val="18"/>
        </w:rPr>
        <w:t>stabil</w:t>
      </w:r>
      <w:r w:rsidR="00927543">
        <w:rPr>
          <w:bCs/>
          <w:szCs w:val="18"/>
        </w:rPr>
        <w:t>ity</w:t>
      </w:r>
      <w:r w:rsidR="00473F01">
        <w:rPr>
          <w:bCs/>
          <w:szCs w:val="18"/>
        </w:rPr>
        <w:t xml:space="preserve"> of nanoparticle</w:t>
      </w:r>
      <w:r w:rsidR="000F47CC">
        <w:rPr>
          <w:bCs/>
          <w:szCs w:val="18"/>
        </w:rPr>
        <w:t>s</w:t>
      </w:r>
      <w:r w:rsidR="00473F01">
        <w:rPr>
          <w:bCs/>
          <w:szCs w:val="18"/>
        </w:rPr>
        <w:t xml:space="preserve"> </w:t>
      </w:r>
      <w:r w:rsidR="00927543">
        <w:rPr>
          <w:bCs/>
          <w:szCs w:val="18"/>
        </w:rPr>
        <w:t xml:space="preserve">at room temperature </w:t>
      </w:r>
      <w:r w:rsidR="00DF1ED1">
        <w:rPr>
          <w:bCs/>
          <w:szCs w:val="18"/>
        </w:rPr>
        <w:t xml:space="preserve">and </w:t>
      </w:r>
      <w:r w:rsidR="00927543">
        <w:rPr>
          <w:bCs/>
          <w:szCs w:val="18"/>
        </w:rPr>
        <w:t xml:space="preserve">higher </w:t>
      </w:r>
      <w:r w:rsidR="00DF1ED1">
        <w:rPr>
          <w:bCs/>
          <w:szCs w:val="18"/>
        </w:rPr>
        <w:t>retention in the nasal cavity</w:t>
      </w:r>
      <w:r w:rsidR="0092160E">
        <w:rPr>
          <w:bCs/>
          <w:szCs w:val="18"/>
        </w:rPr>
        <w:t xml:space="preserve"> </w:t>
      </w:r>
      <w:r w:rsidR="0092160E" w:rsidRPr="00E84232">
        <w:rPr>
          <w:bCs/>
          <w:i/>
          <w:iCs/>
          <w:szCs w:val="18"/>
        </w:rPr>
        <w:t>in vitro</w:t>
      </w:r>
      <w:r w:rsidR="00DF1ED1">
        <w:rPr>
          <w:bCs/>
          <w:szCs w:val="18"/>
        </w:rPr>
        <w:t xml:space="preserve">. </w:t>
      </w:r>
    </w:p>
    <w:p w14:paraId="57DCC0F3" w14:textId="77777777" w:rsidR="00C65A37" w:rsidRPr="00582113" w:rsidRDefault="00C65A37" w:rsidP="0045737A">
      <w:pPr>
        <w:pStyle w:val="DDLHeading1"/>
        <w:spacing w:before="0" w:after="120"/>
        <w:rPr>
          <w:sz w:val="20"/>
          <w:szCs w:val="20"/>
        </w:rPr>
      </w:pPr>
      <w:r w:rsidRPr="00582113">
        <w:rPr>
          <w:sz w:val="20"/>
          <w:szCs w:val="20"/>
        </w:rPr>
        <w:t>Introduction</w:t>
      </w:r>
    </w:p>
    <w:p w14:paraId="5E74D4DB" w14:textId="002D4BDF" w:rsidR="002A4211" w:rsidRPr="00851936" w:rsidRDefault="002A4211" w:rsidP="0042029D">
      <w:pPr>
        <w:snapToGrid w:val="0"/>
        <w:spacing w:after="120"/>
        <w:rPr>
          <w:rFonts w:cs="Arial"/>
          <w:szCs w:val="18"/>
        </w:rPr>
      </w:pPr>
      <w:r w:rsidRPr="00851936">
        <w:rPr>
          <w:rFonts w:cs="Arial"/>
          <w:szCs w:val="18"/>
        </w:rPr>
        <w:t>RNA-based therapeutics are a disruptive technology that is rapidly expanding, which will continue to change the standard of care for many diseases</w:t>
      </w:r>
      <w:r w:rsidR="00C156D1">
        <w:rPr>
          <w:rFonts w:cs="Arial"/>
          <w:szCs w:val="18"/>
        </w:rPr>
        <w:t>. [1-3]</w:t>
      </w:r>
      <w:r w:rsidRPr="00851936">
        <w:rPr>
          <w:rFonts w:cs="Arial"/>
          <w:szCs w:val="18"/>
        </w:rPr>
        <w:t xml:space="preserve"> Current RNA therapeutics have only been delivered via the intravenous route. Nasal delivery of therapeutic RNAs presents significant potential yet remains an underexplored modality to treat many diseases i.e., locally such a COVID-19;</w:t>
      </w:r>
      <w:r w:rsidR="00C156D1">
        <w:rPr>
          <w:rFonts w:cs="Arial"/>
          <w:szCs w:val="18"/>
        </w:rPr>
        <w:t>[1]</w:t>
      </w:r>
      <w:r w:rsidRPr="00851936">
        <w:rPr>
          <w:rFonts w:cs="Arial"/>
          <w:szCs w:val="18"/>
        </w:rPr>
        <w:t xml:space="preserve"> or directly to the brain through the olfactory region in the nose to treat neurodegenerative diseases</w:t>
      </w:r>
      <w:r w:rsidR="00C156D1">
        <w:rPr>
          <w:rFonts w:cs="Arial"/>
          <w:szCs w:val="18"/>
          <w:vertAlign w:val="superscript"/>
        </w:rPr>
        <w:t xml:space="preserve"> </w:t>
      </w:r>
      <w:r w:rsidR="00C156D1" w:rsidRPr="00E84232">
        <w:rPr>
          <w:rFonts w:cs="Arial"/>
          <w:szCs w:val="18"/>
        </w:rPr>
        <w:t>[2]</w:t>
      </w:r>
      <w:r w:rsidRPr="00851936">
        <w:rPr>
          <w:rFonts w:cs="Arial"/>
          <w:szCs w:val="18"/>
        </w:rPr>
        <w:t xml:space="preserve"> and brain tumours.</w:t>
      </w:r>
      <w:r w:rsidR="00C156D1">
        <w:rPr>
          <w:rFonts w:cs="Arial"/>
          <w:szCs w:val="18"/>
        </w:rPr>
        <w:t xml:space="preserve"> [3]</w:t>
      </w:r>
      <w:r w:rsidRPr="00851936">
        <w:rPr>
          <w:rFonts w:cs="Arial"/>
          <w:szCs w:val="18"/>
        </w:rPr>
        <w:t xml:space="preserve"> Targeted nasal delivery has many advantages including quick onset of action, reduced dosage requirements, limited side effects and ability for self-administration using a needle free approach. However, there are several challenges to delivering drugs (including nanoparticles (NPs)) through the intranasal route</w:t>
      </w:r>
      <w:r w:rsidRPr="00C156D1">
        <w:rPr>
          <w:rFonts w:cs="Arial"/>
          <w:szCs w:val="18"/>
        </w:rPr>
        <w:t>,</w:t>
      </w:r>
      <w:r w:rsidR="00C156D1" w:rsidRPr="00E84232">
        <w:rPr>
          <w:rFonts w:cs="Arial"/>
          <w:szCs w:val="18"/>
        </w:rPr>
        <w:t>[4]</w:t>
      </w:r>
      <w:r w:rsidR="00C156D1" w:rsidRPr="00851936">
        <w:rPr>
          <w:rFonts w:cs="Arial"/>
          <w:szCs w:val="18"/>
        </w:rPr>
        <w:t xml:space="preserve"> </w:t>
      </w:r>
      <w:r w:rsidRPr="00851936">
        <w:rPr>
          <w:rFonts w:cs="Arial"/>
          <w:szCs w:val="18"/>
        </w:rPr>
        <w:t xml:space="preserve">including: </w:t>
      </w:r>
      <w:r w:rsidR="004D7ABF">
        <w:rPr>
          <w:rFonts w:cs="Arial"/>
          <w:szCs w:val="18"/>
        </w:rPr>
        <w:t>n</w:t>
      </w:r>
      <w:r w:rsidRPr="00851936">
        <w:rPr>
          <w:rFonts w:cs="Arial"/>
          <w:szCs w:val="18"/>
        </w:rPr>
        <w:t>avigating the highly resistant and narrow nasal vestibule region prior to reaching the targeted region</w:t>
      </w:r>
      <w:r w:rsidR="00C156D1">
        <w:rPr>
          <w:rFonts w:cs="Arial"/>
          <w:szCs w:val="18"/>
        </w:rPr>
        <w:t xml:space="preserve"> [5]</w:t>
      </w:r>
      <w:r w:rsidR="00851936" w:rsidRPr="00851936">
        <w:rPr>
          <w:rFonts w:cs="Arial"/>
          <w:szCs w:val="18"/>
        </w:rPr>
        <w:t xml:space="preserve"> and t</w:t>
      </w:r>
      <w:r w:rsidRPr="00851936">
        <w:rPr>
          <w:rFonts w:cs="Arial"/>
          <w:szCs w:val="18"/>
        </w:rPr>
        <w:t>he biological barriers of the semi-permeable nasal epithelium lined with a mucus layer, enzymatic degradation and rapid mucociliary clearance (renewed every 15 min).</w:t>
      </w:r>
      <w:r w:rsidR="00C156D1">
        <w:rPr>
          <w:rFonts w:cs="Arial"/>
          <w:szCs w:val="18"/>
        </w:rPr>
        <w:t xml:space="preserve"> [6]</w:t>
      </w:r>
    </w:p>
    <w:p w14:paraId="4316C2BB" w14:textId="5C127848" w:rsidR="002A4211" w:rsidRDefault="002A4211" w:rsidP="002A4211">
      <w:pPr>
        <w:snapToGrid w:val="0"/>
        <w:spacing w:after="120"/>
        <w:rPr>
          <w:rFonts w:cs="Arial"/>
          <w:b/>
          <w:szCs w:val="18"/>
        </w:rPr>
      </w:pPr>
      <w:r w:rsidRPr="00851936">
        <w:rPr>
          <w:rFonts w:cs="Arial"/>
          <w:szCs w:val="18"/>
        </w:rPr>
        <w:t>To overcome these challenges, a common approach is to incorporate ‘thickening’ polymers as excipients into the nasal spray to increase viscosity, thus reducing formulation run-off and enhancing residency time</w:t>
      </w:r>
      <w:r w:rsidRPr="00C156D1">
        <w:rPr>
          <w:rFonts w:cs="Arial"/>
          <w:szCs w:val="18"/>
        </w:rPr>
        <w:t>.</w:t>
      </w:r>
      <w:r w:rsidR="00C156D1">
        <w:rPr>
          <w:rFonts w:cs="Arial"/>
          <w:szCs w:val="18"/>
        </w:rPr>
        <w:t xml:space="preserve"> </w:t>
      </w:r>
      <w:r w:rsidR="00C156D1" w:rsidRPr="00E84232">
        <w:rPr>
          <w:rFonts w:cs="Arial"/>
          <w:szCs w:val="18"/>
        </w:rPr>
        <w:t>[7]</w:t>
      </w:r>
      <w:r w:rsidR="00C156D1" w:rsidRPr="00851936">
        <w:rPr>
          <w:rFonts w:cs="Arial"/>
          <w:szCs w:val="18"/>
        </w:rPr>
        <w:t xml:space="preserve"> </w:t>
      </w:r>
      <w:r w:rsidRPr="00851936">
        <w:rPr>
          <w:rFonts w:cs="Arial"/>
          <w:szCs w:val="18"/>
        </w:rPr>
        <w:t xml:space="preserve">The increased viscosity of these polymers generally comes with a trade-off, since such formulations are difficult to aerosolise using current nasal delivery systems (pumps), hampering efficient delivery of the drugs to the nasal cavity. Conversely, formulations with low viscosity have the inherent problem of dripping from the nasal passage, resulting in wastage and low bioavailability. Therefore, there is </w:t>
      </w:r>
      <w:r w:rsidR="004D7ABF">
        <w:rPr>
          <w:rFonts w:cs="Arial"/>
          <w:szCs w:val="18"/>
        </w:rPr>
        <w:t>a</w:t>
      </w:r>
      <w:r w:rsidRPr="00851936">
        <w:rPr>
          <w:rFonts w:cs="Arial"/>
          <w:szCs w:val="18"/>
        </w:rPr>
        <w:t xml:space="preserve"> need to develop new excipients that can be used as an aerosol vehicle to deliver RNA either alone or within NP systems to the nose with the ability to generate fine aerosols, enhanced residence time</w:t>
      </w:r>
      <w:r w:rsidR="004D7ABF">
        <w:rPr>
          <w:rFonts w:cs="Arial"/>
          <w:szCs w:val="18"/>
        </w:rPr>
        <w:t>,</w:t>
      </w:r>
      <w:r w:rsidRPr="00851936">
        <w:rPr>
          <w:rFonts w:cs="Arial"/>
          <w:szCs w:val="18"/>
        </w:rPr>
        <w:t xml:space="preserve"> while circumventing the biological barriers in the nose. </w:t>
      </w:r>
    </w:p>
    <w:p w14:paraId="54A8CA32" w14:textId="50830A7B" w:rsidR="00501600" w:rsidRPr="00501600" w:rsidRDefault="00501600" w:rsidP="0045737A">
      <w:pPr>
        <w:snapToGrid w:val="0"/>
        <w:spacing w:after="0"/>
        <w:rPr>
          <w:rFonts w:cs="Arial"/>
          <w:b/>
          <w:bCs/>
          <w:szCs w:val="18"/>
        </w:rPr>
      </w:pPr>
      <w:r w:rsidRPr="00501600">
        <w:rPr>
          <w:szCs w:val="18"/>
        </w:rPr>
        <w:t xml:space="preserve">In this study, a novel </w:t>
      </w:r>
      <w:r w:rsidR="0041094C">
        <w:rPr>
          <w:szCs w:val="18"/>
        </w:rPr>
        <w:t>proprietary</w:t>
      </w:r>
      <w:r w:rsidR="004D7ABF">
        <w:rPr>
          <w:szCs w:val="18"/>
        </w:rPr>
        <w:t xml:space="preserve"> </w:t>
      </w:r>
      <w:r w:rsidRPr="00501600">
        <w:rPr>
          <w:szCs w:val="18"/>
        </w:rPr>
        <w:t>thermosensitive polymer, poly(N-isopropylacrylamide)-co-(polylactide/2-hydroxy methacrylate)- co -(oligo (ethylene glycol),</w:t>
      </w:r>
      <w:r w:rsidR="00C156D1">
        <w:rPr>
          <w:szCs w:val="18"/>
        </w:rPr>
        <w:t xml:space="preserve"> [8, 9]</w:t>
      </w:r>
      <w:r w:rsidRPr="00501600">
        <w:rPr>
          <w:szCs w:val="18"/>
        </w:rPr>
        <w:t xml:space="preserve"> denoted as TP</w:t>
      </w:r>
      <w:r w:rsidR="004D7ABF">
        <w:rPr>
          <w:szCs w:val="18"/>
        </w:rPr>
        <w:t xml:space="preserve"> (</w:t>
      </w:r>
      <w:proofErr w:type="spellStart"/>
      <w:r w:rsidR="004D7ABF">
        <w:rPr>
          <w:szCs w:val="18"/>
        </w:rPr>
        <w:t>Tetratherix</w:t>
      </w:r>
      <w:proofErr w:type="spellEnd"/>
      <w:r w:rsidR="004D7ABF">
        <w:rPr>
          <w:szCs w:val="18"/>
        </w:rPr>
        <w:t>)</w:t>
      </w:r>
      <w:r w:rsidRPr="00501600">
        <w:rPr>
          <w:szCs w:val="18"/>
        </w:rPr>
        <w:t xml:space="preserve">, is </w:t>
      </w:r>
      <w:r>
        <w:rPr>
          <w:szCs w:val="18"/>
        </w:rPr>
        <w:t>evaluated for its potential as an alternative excipient as drug delivery</w:t>
      </w:r>
      <w:r w:rsidRPr="00501600">
        <w:rPr>
          <w:szCs w:val="18"/>
        </w:rPr>
        <w:t xml:space="preserve"> carrier for </w:t>
      </w:r>
      <w:r>
        <w:rPr>
          <w:szCs w:val="18"/>
        </w:rPr>
        <w:t>intranasal mRNA delivery</w:t>
      </w:r>
      <w:r w:rsidRPr="00501600">
        <w:rPr>
          <w:szCs w:val="18"/>
        </w:rPr>
        <w:t>. The a</w:t>
      </w:r>
      <w:r w:rsidR="00D263B1">
        <w:rPr>
          <w:szCs w:val="18"/>
        </w:rPr>
        <w:t>bility</w:t>
      </w:r>
      <w:r w:rsidRPr="00501600">
        <w:rPr>
          <w:szCs w:val="18"/>
        </w:rPr>
        <w:t xml:space="preserve"> of TP</w:t>
      </w:r>
      <w:r w:rsidR="00CA28BF">
        <w:rPr>
          <w:szCs w:val="18"/>
        </w:rPr>
        <w:t xml:space="preserve"> formulated with EGFP and lipofectamine lipids </w:t>
      </w:r>
      <w:r w:rsidR="0051688A">
        <w:rPr>
          <w:szCs w:val="18"/>
        </w:rPr>
        <w:t>to</w:t>
      </w:r>
      <w:r w:rsidR="00D263B1">
        <w:rPr>
          <w:szCs w:val="18"/>
        </w:rPr>
        <w:t xml:space="preserve"> generate </w:t>
      </w:r>
      <w:r w:rsidR="0051688A">
        <w:rPr>
          <w:szCs w:val="18"/>
        </w:rPr>
        <w:t xml:space="preserve">mRNA nanoparticles was evaluated and characterised </w:t>
      </w:r>
      <w:r w:rsidR="004D7ABF" w:rsidRPr="00E84232">
        <w:rPr>
          <w:i/>
          <w:iCs/>
          <w:szCs w:val="18"/>
        </w:rPr>
        <w:t>in vitro</w:t>
      </w:r>
      <w:r w:rsidR="004D7ABF">
        <w:rPr>
          <w:szCs w:val="18"/>
        </w:rPr>
        <w:t xml:space="preserve"> </w:t>
      </w:r>
      <w:r w:rsidR="0051688A">
        <w:rPr>
          <w:szCs w:val="18"/>
        </w:rPr>
        <w:t xml:space="preserve">for its stability and efficacy. In terms of its potential for nasal delivery, the TP formulations was </w:t>
      </w:r>
      <w:r w:rsidRPr="00501600">
        <w:rPr>
          <w:szCs w:val="18"/>
        </w:rPr>
        <w:t xml:space="preserve">studied in terms of its </w:t>
      </w:r>
      <w:proofErr w:type="spellStart"/>
      <w:r w:rsidRPr="00501600">
        <w:rPr>
          <w:szCs w:val="18"/>
        </w:rPr>
        <w:t>sprayability</w:t>
      </w:r>
      <w:proofErr w:type="spellEnd"/>
      <w:r w:rsidRPr="00501600">
        <w:rPr>
          <w:szCs w:val="18"/>
        </w:rPr>
        <w:t xml:space="preserve"> and coverage of the nasal cavity after administration into the nasal cavity. </w:t>
      </w:r>
    </w:p>
    <w:p w14:paraId="57DCC0F5" w14:textId="0718D12F" w:rsidR="00966CD3" w:rsidRDefault="00072FC7" w:rsidP="0045737A">
      <w:pPr>
        <w:pStyle w:val="DDLHeading1"/>
        <w:spacing w:before="120" w:after="120"/>
        <w:rPr>
          <w:sz w:val="20"/>
          <w:szCs w:val="20"/>
        </w:rPr>
      </w:pPr>
      <w:r>
        <w:rPr>
          <w:sz w:val="20"/>
          <w:szCs w:val="20"/>
        </w:rPr>
        <w:t>Material and methods</w:t>
      </w:r>
    </w:p>
    <w:p w14:paraId="3A3F53A9" w14:textId="4206480A" w:rsidR="008340D3" w:rsidRPr="008340D3" w:rsidRDefault="008340D3" w:rsidP="00370D0F">
      <w:pPr>
        <w:pStyle w:val="DDLBodyText"/>
        <w:spacing w:after="0"/>
        <w:rPr>
          <w:b/>
          <w:bCs/>
          <w:i/>
          <w:iCs/>
        </w:rPr>
      </w:pPr>
      <w:r w:rsidRPr="008340D3">
        <w:rPr>
          <w:b/>
          <w:bCs/>
          <w:i/>
          <w:iCs/>
        </w:rPr>
        <w:t xml:space="preserve">Preparation of TP and mRNA </w:t>
      </w:r>
      <w:r w:rsidR="00D67F4E">
        <w:rPr>
          <w:b/>
          <w:bCs/>
          <w:i/>
          <w:iCs/>
        </w:rPr>
        <w:t>formulations</w:t>
      </w:r>
      <w:r w:rsidRPr="008340D3">
        <w:rPr>
          <w:b/>
          <w:bCs/>
          <w:i/>
          <w:iCs/>
        </w:rPr>
        <w:t xml:space="preserve"> </w:t>
      </w:r>
    </w:p>
    <w:p w14:paraId="255A239A" w14:textId="64CA72F9" w:rsidR="00F87649" w:rsidRDefault="008340D3" w:rsidP="008340D3">
      <w:pPr>
        <w:pStyle w:val="DDLBodyText"/>
        <w:rPr>
          <w:rFonts w:ascii="Helvetica" w:hAnsi="Helvetica"/>
          <w:color w:val="000000"/>
        </w:rPr>
      </w:pPr>
      <w:r w:rsidRPr="008340D3">
        <w:t>A solution of 100 mg/ml TP solution (TP100) was prepared with 1 x P</w:t>
      </w:r>
      <w:r w:rsidR="000B3B90">
        <w:t xml:space="preserve">hosphate </w:t>
      </w:r>
      <w:r w:rsidR="0041094C">
        <w:t>Buffer</w:t>
      </w:r>
      <w:r w:rsidR="00AB3FCD">
        <w:t>ed</w:t>
      </w:r>
      <w:r w:rsidR="000B3B90">
        <w:t xml:space="preserve"> S</w:t>
      </w:r>
      <w:r w:rsidR="00FF3D74">
        <w:t xml:space="preserve">aline </w:t>
      </w:r>
      <w:r w:rsidR="000B3B90">
        <w:t>(P</w:t>
      </w:r>
      <w:r w:rsidRPr="008340D3">
        <w:t>BS</w:t>
      </w:r>
      <w:r w:rsidR="000B3B90">
        <w:t>)</w:t>
      </w:r>
      <w:r w:rsidRPr="008340D3">
        <w:t xml:space="preserve"> or Opti-MEM</w:t>
      </w:r>
      <w:r w:rsidR="000B3B90">
        <w:t xml:space="preserve"> (Minimal Essential Medi</w:t>
      </w:r>
      <w:r w:rsidR="005905F0">
        <w:t>a</w:t>
      </w:r>
      <w:r w:rsidR="000B3B90">
        <w:t xml:space="preserve">) </w:t>
      </w:r>
      <w:r w:rsidR="005478C2" w:rsidRPr="008340D3">
        <w:t>medi</w:t>
      </w:r>
      <w:r w:rsidR="005478C2">
        <w:t>a</w:t>
      </w:r>
      <w:r w:rsidR="005478C2" w:rsidRPr="008340D3">
        <w:t xml:space="preserve"> </w:t>
      </w:r>
      <w:r w:rsidRPr="008340D3">
        <w:t>and left to gently mix over night at 4 °C. The TP100 solutions were stored at 4 °C until use. On the day of experiment, the mRNA was mixed with the appropriate volumes of TP100 solution</w:t>
      </w:r>
      <w:r w:rsidR="00AB6799">
        <w:t xml:space="preserve">, </w:t>
      </w:r>
      <w:r w:rsidR="00AB6799" w:rsidRPr="00AB6799">
        <w:lastRenderedPageBreak/>
        <w:t xml:space="preserve">Lipofectamine™ </w:t>
      </w:r>
      <w:r w:rsidR="00AB6799">
        <w:t>(</w:t>
      </w:r>
      <w:proofErr w:type="spellStart"/>
      <w:r w:rsidR="00AB6799" w:rsidRPr="00AB6799">
        <w:t>MessengerMAX</w:t>
      </w:r>
      <w:proofErr w:type="spellEnd"/>
      <w:r w:rsidR="00AB6799" w:rsidRPr="00AB6799">
        <w:t>™ Transfection Reagent</w:t>
      </w:r>
      <w:r w:rsidR="00531816">
        <w:t xml:space="preserve">, </w:t>
      </w:r>
      <w:proofErr w:type="spellStart"/>
      <w:r w:rsidR="00AB6799" w:rsidRPr="00AB6799">
        <w:t>Thermo</w:t>
      </w:r>
      <w:proofErr w:type="spellEnd"/>
      <w:r w:rsidR="00AB6799" w:rsidRPr="00AB6799">
        <w:t xml:space="preserve"> Fisher Scientific</w:t>
      </w:r>
      <w:r w:rsidR="00531816">
        <w:t>)</w:t>
      </w:r>
      <w:r w:rsidRPr="008340D3">
        <w:t xml:space="preserve"> and PBS or Opti-MEM to create the desired TP solution concentrations.</w:t>
      </w:r>
      <w:r w:rsidR="00972F38" w:rsidRPr="00972F38">
        <w:rPr>
          <w:rFonts w:ascii="Helvetica" w:hAnsi="Helvetica"/>
          <w:color w:val="000000"/>
          <w:shd w:val="clear" w:color="auto" w:fill="FFFFFF"/>
        </w:rPr>
        <w:t xml:space="preserve"> </w:t>
      </w:r>
    </w:p>
    <w:p w14:paraId="71D28CA4" w14:textId="79263C05" w:rsidR="00692785" w:rsidRPr="00692785" w:rsidRDefault="00692785" w:rsidP="00370D0F">
      <w:pPr>
        <w:pStyle w:val="DDLBodyText"/>
        <w:spacing w:after="0"/>
        <w:rPr>
          <w:b/>
          <w:bCs/>
          <w:i/>
          <w:iCs/>
        </w:rPr>
      </w:pPr>
      <w:r w:rsidRPr="00692785">
        <w:rPr>
          <w:b/>
          <w:bCs/>
          <w:i/>
          <w:iCs/>
        </w:rPr>
        <w:t xml:space="preserve">mRNA functionality study with time lapse microscopy </w:t>
      </w:r>
    </w:p>
    <w:p w14:paraId="4A2DC865" w14:textId="4B7946C2" w:rsidR="00692785" w:rsidRPr="00692785" w:rsidRDefault="00692785" w:rsidP="00692785">
      <w:pPr>
        <w:pStyle w:val="DDLBodyText"/>
      </w:pPr>
      <w:r w:rsidRPr="00692785">
        <w:t xml:space="preserve">The functionality of the EGFP mRNA was assessed by evaluating the cellular production of the green fluorescent protein (GFP). A RPMI2650 basal </w:t>
      </w:r>
      <w:r w:rsidR="000B3B90">
        <w:t xml:space="preserve">nasal </w:t>
      </w:r>
      <w:r w:rsidRPr="00692785">
        <w:t>cell model was used. Cells were cultured onto 24-well plates for 24</w:t>
      </w:r>
      <w:r w:rsidR="00093AA0">
        <w:t xml:space="preserve"> </w:t>
      </w:r>
      <w:r w:rsidRPr="00692785">
        <w:t>h. The media of the cells were changed to Opti-MEM media and incubated for 2</w:t>
      </w:r>
      <w:r w:rsidR="00093AA0">
        <w:t xml:space="preserve"> </w:t>
      </w:r>
      <w:r w:rsidRPr="00692785">
        <w:t>h at 37 °C.</w:t>
      </w:r>
      <w:r w:rsidR="003525CC">
        <w:t xml:space="preserve"> </w:t>
      </w:r>
      <w:r w:rsidR="003525CC" w:rsidRPr="003525CC">
        <w:t>The 24-well plate was kept in a humidified chamber at 37</w:t>
      </w:r>
      <w:r w:rsidR="00093AA0">
        <w:t xml:space="preserve"> </w:t>
      </w:r>
      <w:r w:rsidR="003525CC" w:rsidRPr="003525CC">
        <w:t>°C in 5% CO</w:t>
      </w:r>
      <w:r w:rsidR="003525CC" w:rsidRPr="00EC2FAE">
        <w:rPr>
          <w:vertAlign w:val="subscript"/>
        </w:rPr>
        <w:t>2</w:t>
      </w:r>
      <w:r w:rsidR="003525CC" w:rsidRPr="003525CC">
        <w:t xml:space="preserve"> atmosphere and 95% humidity and observed using a Nikon Eclipse Ti microscope (Nikon, Tokyo, Japan) with </w:t>
      </w:r>
      <w:proofErr w:type="spellStart"/>
      <w:r w:rsidR="003525CC" w:rsidRPr="003525CC">
        <w:t>Coolsnap</w:t>
      </w:r>
      <w:proofErr w:type="spellEnd"/>
      <w:r w:rsidR="003525CC" w:rsidRPr="003525CC">
        <w:t xml:space="preserve"> ES2 camera. Photographs were taken every 2</w:t>
      </w:r>
      <w:r w:rsidR="00093AA0">
        <w:t xml:space="preserve"> </w:t>
      </w:r>
      <w:r w:rsidR="003525CC" w:rsidRPr="003525CC">
        <w:t>h for 48</w:t>
      </w:r>
      <w:r w:rsidR="00093AA0">
        <w:t xml:space="preserve"> </w:t>
      </w:r>
      <w:r w:rsidR="003525CC" w:rsidRPr="003525CC">
        <w:t xml:space="preserve">h using NIS-Elements (version 3.22.01) set to take images in both ‘Phase’ and ‘Fluorescent’ modes. The images were analysed using Fiji ImageJ. </w:t>
      </w:r>
    </w:p>
    <w:p w14:paraId="6BE9983A" w14:textId="2565B718" w:rsidR="00404AC0" w:rsidRPr="00404AC0" w:rsidRDefault="00404AC0" w:rsidP="00370D0F">
      <w:pPr>
        <w:pStyle w:val="DDLBodyText"/>
        <w:spacing w:after="0"/>
        <w:rPr>
          <w:b/>
          <w:bCs/>
          <w:i/>
          <w:iCs/>
        </w:rPr>
      </w:pPr>
      <w:r w:rsidRPr="00404AC0">
        <w:rPr>
          <w:b/>
          <w:bCs/>
          <w:i/>
          <w:iCs/>
        </w:rPr>
        <w:t xml:space="preserve">Parallel mRNA functionality assay with nanoparticle measurements. </w:t>
      </w:r>
    </w:p>
    <w:p w14:paraId="7B81C9A6" w14:textId="6A81D149" w:rsidR="00404AC0" w:rsidRDefault="003525CC" w:rsidP="00D80E1B">
      <w:pPr>
        <w:pStyle w:val="DDLBodyText"/>
        <w:spacing w:after="0"/>
      </w:pPr>
      <w:r>
        <w:t xml:space="preserve">Subsequently, a </w:t>
      </w:r>
      <w:r w:rsidR="00404AC0">
        <w:t xml:space="preserve">study was designed to decipher if the TP formulations with mRNA and lipofectamine could form nanoparticles and if those nanoparticles were able to preserve the efficacy of the mRNA. The RPMI2650 </w:t>
      </w:r>
      <w:r w:rsidR="000B3B90">
        <w:t xml:space="preserve">nasal </w:t>
      </w:r>
      <w:r w:rsidR="00404AC0">
        <w:t>cell model was used to evaluate efficacy. The cells were cultured onto 24-well plates for 24h. The media of the cells were changed to Opti-MEM media and incubated for 2</w:t>
      </w:r>
      <w:r w:rsidR="00093AA0">
        <w:t xml:space="preserve"> </w:t>
      </w:r>
      <w:r w:rsidR="00404AC0">
        <w:t>h at 37 °C. The media was then replaced with the following:</w:t>
      </w:r>
    </w:p>
    <w:p w14:paraId="3D21EAC1" w14:textId="77777777" w:rsidR="00404AC0" w:rsidRDefault="00404AC0" w:rsidP="00D80E1B">
      <w:pPr>
        <w:pStyle w:val="DDLBodyText"/>
        <w:spacing w:after="0"/>
        <w:ind w:left="284" w:hanging="284"/>
      </w:pPr>
      <w:r>
        <w:t>•</w:t>
      </w:r>
      <w:r>
        <w:tab/>
        <w:t>Negative control – Lipofectamine 0.75 µl diluted to 500 µl with fresh Opti-MEM media</w:t>
      </w:r>
    </w:p>
    <w:p w14:paraId="75929A56" w14:textId="564C79BE" w:rsidR="00D80E1B" w:rsidRDefault="00404AC0" w:rsidP="00E85457">
      <w:pPr>
        <w:pStyle w:val="DDLBodyText"/>
        <w:spacing w:after="0"/>
        <w:ind w:left="284" w:hanging="284"/>
      </w:pPr>
      <w:r>
        <w:t>•</w:t>
      </w:r>
      <w:r>
        <w:tab/>
        <w:t xml:space="preserve">Positive control – 500 ng of mRNA mixed with 0.75 µl lipofectamine diluted to 500 µl with fresh Opti-MEM media </w:t>
      </w:r>
    </w:p>
    <w:p w14:paraId="49248E29" w14:textId="76E2CAFF" w:rsidR="00404AC0" w:rsidRDefault="00404AC0" w:rsidP="00D80E1B">
      <w:pPr>
        <w:pStyle w:val="DDLBodyText"/>
        <w:spacing w:after="0"/>
      </w:pPr>
      <w:r>
        <w:t xml:space="preserve">For the indirect exposure to the formulations, the media on the cells were replaced with fresh Opti-MEM media and </w:t>
      </w:r>
      <w:proofErr w:type="spellStart"/>
      <w:r>
        <w:t>Transwell</w:t>
      </w:r>
      <w:proofErr w:type="spellEnd"/>
      <w:r>
        <w:t xml:space="preserve"> inserts (5 µm, polycarbonate membrane) were placed on top of the wells carrying the following formulations:  </w:t>
      </w:r>
    </w:p>
    <w:p w14:paraId="1A6E9F3A" w14:textId="77777777" w:rsidR="00404AC0" w:rsidRDefault="00404AC0" w:rsidP="00D80E1B">
      <w:pPr>
        <w:pStyle w:val="DDLBodyText"/>
        <w:spacing w:after="0"/>
        <w:ind w:left="284" w:hanging="284"/>
      </w:pPr>
      <w:r>
        <w:t>•</w:t>
      </w:r>
      <w:r>
        <w:tab/>
        <w:t>TP0 formulation – 500 ng of mRNA mixed with 0.75 µl lipofectamine diluted to 100 µl with fresh Opti-MEM</w:t>
      </w:r>
    </w:p>
    <w:p w14:paraId="20DF2FDE" w14:textId="77777777" w:rsidR="00404AC0" w:rsidRDefault="00404AC0" w:rsidP="00D80E1B">
      <w:pPr>
        <w:pStyle w:val="DDLBodyText"/>
        <w:spacing w:after="0"/>
        <w:ind w:left="284" w:hanging="284"/>
      </w:pPr>
      <w:r>
        <w:t>•</w:t>
      </w:r>
      <w:r>
        <w:tab/>
        <w:t>TP25 formulation – 500 ng of mRNA mixed with 0.75 µl lipofectamine diluted to 100 µl with fresh Opti-MEM with 25mg/ml polymer</w:t>
      </w:r>
    </w:p>
    <w:p w14:paraId="2B19A443" w14:textId="567382EB" w:rsidR="00D80E1B" w:rsidRDefault="00404AC0" w:rsidP="00E85457">
      <w:pPr>
        <w:pStyle w:val="DDLBodyText"/>
        <w:spacing w:after="0"/>
        <w:ind w:left="284" w:hanging="284"/>
      </w:pPr>
      <w:r>
        <w:t>•</w:t>
      </w:r>
      <w:r>
        <w:tab/>
        <w:t>TP32 formulation – 500 ng of mRNA mixed with 0.75 µl lipofectamine diluted to 100 µl with fresh Opti-MEM with 32mg/ml polymer</w:t>
      </w:r>
    </w:p>
    <w:p w14:paraId="436EF5C4" w14:textId="57DD8389" w:rsidR="00404AC0" w:rsidRDefault="00404AC0" w:rsidP="00404AC0">
      <w:pPr>
        <w:pStyle w:val="DDLBodyText"/>
      </w:pPr>
      <w:r>
        <w:t xml:space="preserve">A parallel 24-well plate was also set alongside this cell experiment with the exact same conditions but </w:t>
      </w:r>
      <w:r w:rsidR="00D80E1B">
        <w:t>without any</w:t>
      </w:r>
      <w:r>
        <w:t xml:space="preserve"> cells. After 2</w:t>
      </w:r>
      <w:r w:rsidR="003C0B43">
        <w:t xml:space="preserve"> </w:t>
      </w:r>
      <w:r>
        <w:t>4h incubation at 37</w:t>
      </w:r>
      <w:r w:rsidR="003C0B43">
        <w:t xml:space="preserve"> </w:t>
      </w:r>
      <w:r>
        <w:t xml:space="preserve">°C in 5% CO2 atmosphere, the </w:t>
      </w:r>
      <w:proofErr w:type="spellStart"/>
      <w:r>
        <w:t>Transwell</w:t>
      </w:r>
      <w:proofErr w:type="spellEnd"/>
      <w:r>
        <w:t xml:space="preserve"> inserts were removed from all the wells and the cell plates were measure</w:t>
      </w:r>
      <w:r w:rsidR="00D80E1B">
        <w:t>d</w:t>
      </w:r>
      <w:r>
        <w:t xml:space="preserve"> using the fluorescent plate reader. The media in the non-cell plates were analysed using the </w:t>
      </w:r>
      <w:proofErr w:type="spellStart"/>
      <w:r>
        <w:t>zetasizer</w:t>
      </w:r>
      <w:proofErr w:type="spellEnd"/>
      <w:r w:rsidR="000B3B90">
        <w:t xml:space="preserve"> to assess for particle size  </w:t>
      </w:r>
    </w:p>
    <w:p w14:paraId="0F76319D" w14:textId="7CF5BF4B" w:rsidR="00BF52CE" w:rsidRPr="0084151E" w:rsidRDefault="00BF52CE" w:rsidP="00370D0F">
      <w:pPr>
        <w:pStyle w:val="DDLBodyText"/>
        <w:spacing w:after="0"/>
        <w:rPr>
          <w:b/>
          <w:bCs/>
          <w:i/>
          <w:iCs/>
        </w:rPr>
      </w:pPr>
      <w:r w:rsidRPr="0084151E">
        <w:rPr>
          <w:b/>
          <w:bCs/>
          <w:i/>
          <w:iCs/>
        </w:rPr>
        <w:t xml:space="preserve">Stability Study -mRNA </w:t>
      </w:r>
      <w:r w:rsidR="000B3B90">
        <w:rPr>
          <w:b/>
          <w:bCs/>
          <w:i/>
          <w:iCs/>
        </w:rPr>
        <w:t xml:space="preserve">encapsulation </w:t>
      </w:r>
      <w:r w:rsidRPr="0084151E">
        <w:rPr>
          <w:b/>
          <w:bCs/>
          <w:i/>
          <w:iCs/>
        </w:rPr>
        <w:t>content</w:t>
      </w:r>
    </w:p>
    <w:p w14:paraId="445A1BE4" w14:textId="354C2FA2" w:rsidR="00BF52CE" w:rsidRDefault="00BF52CE" w:rsidP="0045737A">
      <w:pPr>
        <w:pStyle w:val="DDLBodyText"/>
        <w:spacing w:after="120"/>
      </w:pPr>
      <w:r>
        <w:t>The nasal spray formulation stability study was conducted for mRNA stability using 2</w:t>
      </w:r>
      <w:r w:rsidR="003C0B43">
        <w:t xml:space="preserve"> </w:t>
      </w:r>
      <w:r>
        <w:t>ml Type 1 borosilicate clear glass filled vials where the formulations were added and incubated at 4</w:t>
      </w:r>
      <w:r w:rsidR="003C0B43">
        <w:t xml:space="preserve"> </w:t>
      </w:r>
      <w:r>
        <w:t>°C, 25</w:t>
      </w:r>
      <w:r w:rsidR="003C0B43">
        <w:t xml:space="preserve"> </w:t>
      </w:r>
      <w:r>
        <w:t>°C or 37</w:t>
      </w:r>
      <w:r w:rsidR="003C0B43">
        <w:t xml:space="preserve"> </w:t>
      </w:r>
      <w:r>
        <w:t>°C and measured immediately (0</w:t>
      </w:r>
      <w:r w:rsidR="003C0B43">
        <w:t xml:space="preserve"> </w:t>
      </w:r>
      <w:r>
        <w:t>h) and after 24</w:t>
      </w:r>
      <w:r w:rsidR="003C0B43">
        <w:t xml:space="preserve"> </w:t>
      </w:r>
      <w:r>
        <w:t>h, 48</w:t>
      </w:r>
      <w:r w:rsidR="003C0B43">
        <w:t xml:space="preserve"> </w:t>
      </w:r>
      <w:r>
        <w:t>h, 72</w:t>
      </w:r>
      <w:r w:rsidR="003C0B43">
        <w:t xml:space="preserve"> </w:t>
      </w:r>
      <w:r>
        <w:t>h, 120</w:t>
      </w:r>
      <w:r w:rsidR="003C0B43">
        <w:t xml:space="preserve"> </w:t>
      </w:r>
      <w:r>
        <w:t>h, and 168 h using Agarose gel electrophoresis. The samples stored at 25</w:t>
      </w:r>
      <w:r w:rsidR="003C0B43">
        <w:t xml:space="preserve"> </w:t>
      </w:r>
      <w:r>
        <w:t>°C and 37 °C were incubated for 1</w:t>
      </w:r>
      <w:r w:rsidR="003C0B43">
        <w:t xml:space="preserve"> </w:t>
      </w:r>
      <w:r>
        <w:t>h in the fridge/ice to allow the gel to transition to solution prior to analysis. The ‘leaked’ samples, measuring how much mRNA leaked out of nanoparticles, was determined by analysing the samples directly (without any detergent) and the ‘total’ mRNA content in the of the formulation was determined by adding Triton X-100 (final volume 5</w:t>
      </w:r>
      <w:r w:rsidR="003C0B43">
        <w:t xml:space="preserve"> </w:t>
      </w:r>
      <w:r>
        <w:t>%v/v) to the samples before analysing using agarose gel electrophoresis</w:t>
      </w:r>
      <w:r w:rsidR="000B3B90">
        <w:t xml:space="preserve"> (Equation 1)</w:t>
      </w:r>
      <w:r>
        <w:t xml:space="preserve">.   </w:t>
      </w:r>
    </w:p>
    <w:p w14:paraId="4FECDB16" w14:textId="77777777" w:rsidR="00BF52CE" w:rsidRDefault="00BF52CE" w:rsidP="00BF52CE">
      <w:pPr>
        <w:pStyle w:val="DDLBodyText"/>
      </w:pPr>
      <w:r>
        <w:t>Equation 1: Percentage Encapsulated (%) = ((total mRNA-leaked mRNA)</w:t>
      </w:r>
      <w:proofErr w:type="gramStart"/>
      <w:r>
        <w:t>/(</w:t>
      </w:r>
      <w:proofErr w:type="gramEnd"/>
      <w:r>
        <w:t>total mRNA ))  x 100</w:t>
      </w:r>
    </w:p>
    <w:p w14:paraId="6A34CAB2" w14:textId="77777777" w:rsidR="00C9290C" w:rsidRPr="00161859" w:rsidRDefault="00C9290C" w:rsidP="00370D0F">
      <w:pPr>
        <w:pStyle w:val="DDLBodyText"/>
        <w:spacing w:after="0"/>
        <w:rPr>
          <w:b/>
          <w:bCs/>
          <w:i/>
          <w:iCs/>
        </w:rPr>
      </w:pPr>
      <w:r w:rsidRPr="00161859">
        <w:rPr>
          <w:b/>
          <w:bCs/>
          <w:i/>
          <w:iCs/>
        </w:rPr>
        <w:t>Nasal cast deposition study</w:t>
      </w:r>
    </w:p>
    <w:p w14:paraId="0651080D" w14:textId="012248EF" w:rsidR="00C9290C" w:rsidRDefault="00C9290C" w:rsidP="00C9290C">
      <w:pPr>
        <w:pStyle w:val="DDLBodyText"/>
      </w:pPr>
      <w:r>
        <w:t>The deposition of the nasal formulations, in the human nasal cavity was assessed using an anatomical transparent silicone human nose model</w:t>
      </w:r>
      <w:r w:rsidR="000B3B90">
        <w:t xml:space="preserve"> (Koken model)</w:t>
      </w:r>
      <w:r>
        <w:t>. The deposition of the spray in the nasal cavity cast was visualised by covering the interior surface of the dry nose cast uniformly with 0.5 g of the Sar-Gel® paste with a dry brush. The n</w:t>
      </w:r>
      <w:r w:rsidR="00754561">
        <w:t>asal</w:t>
      </w:r>
      <w:r>
        <w:t xml:space="preserve"> cast was then transferred to a sealed dry box containing silica gel to keep the nasal cast dry and incubated for 20 min at 32-37</w:t>
      </w:r>
      <w:r w:rsidR="00062F83">
        <w:t xml:space="preserve"> </w:t>
      </w:r>
      <w:r>
        <w:t>°C for temperature equilibrium. The BIVAX Aptar spray device containing 500 µL of the formulations (250 µL/nostril i.e., half a dose/nostril) was inserted 5 mm into the nostril and actuated manually at a 45° angle. During actuation, the nasal cast was positioned in a standard upright pose, placed back into the sealed dry box, and incubated for a further 20 min to monitor the deposition of the sprayed formulation within the nasal cavity cast. Sequential photographs were taken every 5 min during the incubation period for up to 20 min, the images were analysed using Image J software.</w:t>
      </w:r>
    </w:p>
    <w:p w14:paraId="2ACF06AB" w14:textId="761CDC7F" w:rsidR="00161859" w:rsidRPr="00161859" w:rsidRDefault="00161859" w:rsidP="00370D0F">
      <w:pPr>
        <w:pStyle w:val="DDLBodyText"/>
        <w:spacing w:after="0"/>
        <w:rPr>
          <w:b/>
          <w:bCs/>
          <w:i/>
          <w:iCs/>
        </w:rPr>
      </w:pPr>
      <w:r w:rsidRPr="00161859">
        <w:rPr>
          <w:b/>
          <w:bCs/>
          <w:i/>
          <w:iCs/>
        </w:rPr>
        <w:t xml:space="preserve">Aerosol particle size distribution study </w:t>
      </w:r>
    </w:p>
    <w:p w14:paraId="633F8B43" w14:textId="77C7CBB1" w:rsidR="00161859" w:rsidRDefault="00161859" w:rsidP="00161859">
      <w:pPr>
        <w:pStyle w:val="DDLBodyText"/>
      </w:pPr>
      <w:r>
        <w:t xml:space="preserve">The aerosol particle size distribution was conducted for the nasal spray formulations using laser diffraction. Briefly, a </w:t>
      </w:r>
      <w:proofErr w:type="spellStart"/>
      <w:r>
        <w:t>Spraytec</w:t>
      </w:r>
      <w:proofErr w:type="spellEnd"/>
      <w:r>
        <w:t xml:space="preserve"> particle sizer was used for all measurements. Three particle size measurements were then conducted for each formulation by firing into the laser path at a 45° angle. The spray nozzle was adjusted so that the nozzle tip was 25 mm from the laser at an angle of 30° from the beam. All actuations were conducted by the same operator. </w:t>
      </w:r>
    </w:p>
    <w:p w14:paraId="6D27035A" w14:textId="6C4AE78F" w:rsidR="00D80E1B" w:rsidRPr="00D80E1B" w:rsidRDefault="00D80E1B" w:rsidP="0045737A">
      <w:pPr>
        <w:pStyle w:val="DDLBodyText"/>
        <w:spacing w:after="120"/>
        <w:rPr>
          <w:b/>
          <w:bCs/>
          <w:i/>
          <w:iCs/>
          <w:sz w:val="20"/>
        </w:rPr>
      </w:pPr>
      <w:r w:rsidRPr="00D80E1B">
        <w:rPr>
          <w:b/>
          <w:bCs/>
          <w:i/>
          <w:iCs/>
          <w:sz w:val="20"/>
        </w:rPr>
        <w:t>Results and Discussion</w:t>
      </w:r>
    </w:p>
    <w:p w14:paraId="3DF00DD7" w14:textId="2F334000" w:rsidR="00C67A85" w:rsidRDefault="007C0CBC" w:rsidP="000F0282">
      <w:pPr>
        <w:pStyle w:val="DDLBodyText"/>
        <w:spacing w:after="0"/>
        <w:rPr>
          <w:lang w:val="en-AU"/>
        </w:rPr>
      </w:pPr>
      <w:r>
        <w:rPr>
          <w:lang w:val="en-AU"/>
        </w:rPr>
        <w:t>G</w:t>
      </w:r>
      <w:r w:rsidR="00C67A85" w:rsidRPr="00572CB4">
        <w:rPr>
          <w:lang w:val="en-AU"/>
        </w:rPr>
        <w:t xml:space="preserve">FP functional assay was developed to measure the efficacy of mRNA formulations with the polymer. </w:t>
      </w:r>
      <w:r w:rsidR="00C67A85" w:rsidRPr="004A2752">
        <w:rPr>
          <w:lang w:val="en-AU"/>
        </w:rPr>
        <w:t xml:space="preserve">Time lapse microscopy was used to </w:t>
      </w:r>
      <w:r w:rsidR="00C67A85">
        <w:rPr>
          <w:lang w:val="en-AU"/>
        </w:rPr>
        <w:t>image</w:t>
      </w:r>
      <w:r w:rsidR="00C67A85" w:rsidRPr="004A2752">
        <w:rPr>
          <w:lang w:val="en-AU"/>
        </w:rPr>
        <w:t xml:space="preserve"> the expression of green fluorescent protein for 48h. </w:t>
      </w:r>
      <w:r w:rsidR="001C2DAC">
        <w:rPr>
          <w:lang w:val="en-AU"/>
        </w:rPr>
        <w:t>In the absence of lipofectamine, t</w:t>
      </w:r>
      <w:r w:rsidR="00CA4B8F" w:rsidRPr="00542A45">
        <w:rPr>
          <w:lang w:val="en-AU"/>
        </w:rPr>
        <w:t>he mRNA was unable to have a functional effect on the RPMI2650 cells or in combination with TP.</w:t>
      </w:r>
      <w:r w:rsidR="00CA4B8F" w:rsidRPr="00CA4B8F">
        <w:rPr>
          <w:lang w:val="en-AU"/>
        </w:rPr>
        <w:t xml:space="preserve"> </w:t>
      </w:r>
      <w:r w:rsidR="00CA4B8F">
        <w:rPr>
          <w:lang w:val="en-AU"/>
        </w:rPr>
        <w:t>However,</w:t>
      </w:r>
      <w:r w:rsidR="00CA4B8F" w:rsidRPr="00542A45">
        <w:rPr>
          <w:lang w:val="en-AU"/>
        </w:rPr>
        <w:t xml:space="preserve"> when mixed with Lipofectamine, the mRNA was functional</w:t>
      </w:r>
      <w:r w:rsidR="000B3B90">
        <w:rPr>
          <w:lang w:val="en-AU"/>
        </w:rPr>
        <w:t>,</w:t>
      </w:r>
      <w:r w:rsidR="00CA4B8F" w:rsidRPr="00542A45">
        <w:rPr>
          <w:lang w:val="en-AU"/>
        </w:rPr>
        <w:t xml:space="preserve"> as evidenced by the expression of GFP. </w:t>
      </w:r>
      <w:r w:rsidR="00C67A85" w:rsidRPr="004A2752">
        <w:rPr>
          <w:lang w:val="en-AU"/>
        </w:rPr>
        <w:t>The increase in GFP plateaus at 24h</w:t>
      </w:r>
      <w:r w:rsidR="00C67A85">
        <w:rPr>
          <w:lang w:val="en-AU"/>
        </w:rPr>
        <w:t xml:space="preserve"> </w:t>
      </w:r>
      <w:r w:rsidR="00E91FB6">
        <w:rPr>
          <w:lang w:val="en-AU"/>
        </w:rPr>
        <w:t xml:space="preserve">(Figure 1) </w:t>
      </w:r>
      <w:r w:rsidR="00C67A85">
        <w:rPr>
          <w:lang w:val="en-AU"/>
        </w:rPr>
        <w:t>and hence was selected as</w:t>
      </w:r>
      <w:r w:rsidR="00C67A85" w:rsidRPr="004A2752">
        <w:rPr>
          <w:lang w:val="en-AU"/>
        </w:rPr>
        <w:t xml:space="preserve"> the time point to develop a 24 well plate</w:t>
      </w:r>
      <w:r w:rsidR="000107F9">
        <w:rPr>
          <w:lang w:val="en-AU"/>
        </w:rPr>
        <w:t xml:space="preserve"> for</w:t>
      </w:r>
      <w:r w:rsidR="00C67A85" w:rsidRPr="004A2752">
        <w:rPr>
          <w:lang w:val="en-AU"/>
        </w:rPr>
        <w:t xml:space="preserve"> </w:t>
      </w:r>
      <w:r w:rsidR="000107F9">
        <w:rPr>
          <w:lang w:val="en-AU"/>
        </w:rPr>
        <w:t xml:space="preserve">parallel </w:t>
      </w:r>
      <w:r w:rsidR="00C67A85" w:rsidRPr="004A2752">
        <w:rPr>
          <w:lang w:val="en-AU"/>
        </w:rPr>
        <w:t xml:space="preserve">functional assay </w:t>
      </w:r>
      <w:r w:rsidR="000107F9">
        <w:rPr>
          <w:lang w:val="en-AU"/>
        </w:rPr>
        <w:t xml:space="preserve">of </w:t>
      </w:r>
      <w:r w:rsidR="00754561">
        <w:rPr>
          <w:lang w:val="en-AU"/>
        </w:rPr>
        <w:t>E</w:t>
      </w:r>
      <w:r w:rsidR="00C67A85" w:rsidRPr="004A2752">
        <w:rPr>
          <w:lang w:val="en-AU"/>
        </w:rPr>
        <w:t>GFP mRNA</w:t>
      </w:r>
      <w:r w:rsidR="000107F9">
        <w:rPr>
          <w:lang w:val="en-AU"/>
        </w:rPr>
        <w:t xml:space="preserve"> and nanoparticle measurement</w:t>
      </w:r>
      <w:r w:rsidR="00CA4B8F">
        <w:rPr>
          <w:lang w:val="en-AU"/>
        </w:rPr>
        <w:t xml:space="preserve"> with the addition of Lipofectamine in the formulation.</w:t>
      </w:r>
      <w:r w:rsidR="00C67A85" w:rsidRPr="004A2752">
        <w:rPr>
          <w:lang w:val="en-AU"/>
        </w:rPr>
        <w:t xml:space="preserve"> </w:t>
      </w:r>
    </w:p>
    <w:p w14:paraId="6DA7859F" w14:textId="77777777" w:rsidR="00C67A85" w:rsidRDefault="00C67A85" w:rsidP="00962C50">
      <w:pPr>
        <w:pStyle w:val="DDLHeading1"/>
        <w:spacing w:before="0" w:after="0"/>
        <w:jc w:val="center"/>
        <w:rPr>
          <w:sz w:val="20"/>
          <w:szCs w:val="20"/>
        </w:rPr>
      </w:pPr>
      <w:r>
        <w:rPr>
          <w:noProof/>
          <w:sz w:val="20"/>
          <w:szCs w:val="20"/>
        </w:rPr>
        <w:lastRenderedPageBreak/>
        <w:drawing>
          <wp:inline distT="0" distB="0" distL="0" distR="0" wp14:anchorId="6DB15F84" wp14:editId="48AA3281">
            <wp:extent cx="3195873" cy="2000250"/>
            <wp:effectExtent l="0" t="0" r="5080" b="0"/>
            <wp:docPr id="15034678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5420" t="16181" r="746" b="15034"/>
                    <a:stretch/>
                  </pic:blipFill>
                  <pic:spPr bwMode="auto">
                    <a:xfrm>
                      <a:off x="0" y="0"/>
                      <a:ext cx="3211790" cy="2010212"/>
                    </a:xfrm>
                    <a:prstGeom prst="rect">
                      <a:avLst/>
                    </a:prstGeom>
                    <a:noFill/>
                    <a:ln>
                      <a:noFill/>
                    </a:ln>
                    <a:extLst>
                      <a:ext uri="{53640926-AAD7-44D8-BBD7-CCE9431645EC}">
                        <a14:shadowObscured xmlns:a14="http://schemas.microsoft.com/office/drawing/2010/main"/>
                      </a:ext>
                    </a:extLst>
                  </pic:spPr>
                </pic:pic>
              </a:graphicData>
            </a:graphic>
          </wp:inline>
        </w:drawing>
      </w:r>
    </w:p>
    <w:p w14:paraId="4EBE1827" w14:textId="748EA26C" w:rsidR="00C67A85" w:rsidRPr="004506DE" w:rsidRDefault="00C67A85" w:rsidP="00C67A85">
      <w:pPr>
        <w:pStyle w:val="Caption"/>
        <w:rPr>
          <w:sz w:val="18"/>
          <w:szCs w:val="18"/>
        </w:rPr>
      </w:pPr>
      <w:r w:rsidRPr="004506DE">
        <w:rPr>
          <w:sz w:val="18"/>
          <w:szCs w:val="18"/>
        </w:rPr>
        <w:t>Figure 1 – Time-lapse fluorescent microscopy to detect cellular expression of green fluorescent protein (cellular product of the mRNA</w:t>
      </w:r>
      <w:r w:rsidR="000B3B90" w:rsidRPr="004506DE">
        <w:rPr>
          <w:sz w:val="18"/>
          <w:szCs w:val="18"/>
        </w:rPr>
        <w:t>-Left panel</w:t>
      </w:r>
      <w:r w:rsidRPr="004506DE">
        <w:rPr>
          <w:sz w:val="18"/>
          <w:szCs w:val="18"/>
        </w:rPr>
        <w:t xml:space="preserve">) superimposed images of phase and fluorescent </w:t>
      </w:r>
      <w:proofErr w:type="gramStart"/>
      <w:r w:rsidRPr="004506DE">
        <w:rPr>
          <w:sz w:val="18"/>
          <w:szCs w:val="18"/>
        </w:rPr>
        <w:t>modes</w:t>
      </w:r>
      <w:r w:rsidR="000B3B90" w:rsidRPr="004506DE">
        <w:rPr>
          <w:sz w:val="18"/>
          <w:szCs w:val="18"/>
        </w:rPr>
        <w:t>(</w:t>
      </w:r>
      <w:proofErr w:type="gramEnd"/>
      <w:r w:rsidR="000B3B90" w:rsidRPr="004506DE">
        <w:rPr>
          <w:sz w:val="18"/>
          <w:szCs w:val="18"/>
        </w:rPr>
        <w:t>Right-Top)</w:t>
      </w:r>
      <w:r w:rsidRPr="004506DE">
        <w:rPr>
          <w:sz w:val="18"/>
          <w:szCs w:val="18"/>
        </w:rPr>
        <w:t xml:space="preserve"> and data analysis of the fluorescent signal using image J over 0-48h period</w:t>
      </w:r>
      <w:r w:rsidR="000B3B90" w:rsidRPr="004506DE">
        <w:rPr>
          <w:sz w:val="18"/>
          <w:szCs w:val="18"/>
        </w:rPr>
        <w:t xml:space="preserve"> (Right-Bottom_</w:t>
      </w:r>
      <w:r w:rsidRPr="004506DE">
        <w:rPr>
          <w:sz w:val="18"/>
          <w:szCs w:val="18"/>
        </w:rPr>
        <w:t xml:space="preserve">. </w:t>
      </w:r>
    </w:p>
    <w:p w14:paraId="233433B9" w14:textId="7A8DD25A" w:rsidR="004A2752" w:rsidRDefault="000546B1" w:rsidP="00962C50">
      <w:pPr>
        <w:spacing w:after="0"/>
        <w:rPr>
          <w:lang w:val="en-US"/>
        </w:rPr>
      </w:pPr>
      <w:r w:rsidRPr="00515C1C">
        <w:rPr>
          <w:lang w:val="en-AU"/>
        </w:rPr>
        <w:t xml:space="preserve">The formulation combination of </w:t>
      </w:r>
      <w:r w:rsidR="00754561">
        <w:rPr>
          <w:lang w:val="en-AU"/>
        </w:rPr>
        <w:t>E</w:t>
      </w:r>
      <w:r w:rsidRPr="00515C1C">
        <w:rPr>
          <w:lang w:val="en-AU"/>
        </w:rPr>
        <w:t>GFP-mRNA, lipofectamine and different concentrations of TP polymer have shown that they form nanoparticles</w:t>
      </w:r>
      <w:r w:rsidR="002B1B20">
        <w:rPr>
          <w:lang w:val="en-AU"/>
        </w:rPr>
        <w:t xml:space="preserve"> </w:t>
      </w:r>
      <w:r w:rsidR="000B3B90">
        <w:rPr>
          <w:lang w:val="en-US"/>
        </w:rPr>
        <w:t xml:space="preserve">of </w:t>
      </w:r>
      <w:r w:rsidRPr="00515C1C">
        <w:rPr>
          <w:lang w:val="en-US"/>
        </w:rPr>
        <w:t>approximately 40 nm in diameter</w:t>
      </w:r>
      <w:r w:rsidR="00272C25" w:rsidRPr="00515C1C">
        <w:rPr>
          <w:lang w:val="en-US"/>
        </w:rPr>
        <w:t>, while</w:t>
      </w:r>
      <w:r w:rsidRPr="00515C1C">
        <w:rPr>
          <w:lang w:val="en-US"/>
        </w:rPr>
        <w:t xml:space="preserve"> </w:t>
      </w:r>
      <w:r w:rsidR="00647529" w:rsidRPr="00515C1C">
        <w:rPr>
          <w:rFonts w:ascii="Helvetica" w:hAnsi="Helvetica" w:cs="Helvetica"/>
          <w:lang w:eastAsia="en-US"/>
        </w:rPr>
        <w:t>TP0</w:t>
      </w:r>
      <w:r w:rsidR="002B1B20">
        <w:rPr>
          <w:rFonts w:ascii="Helvetica" w:hAnsi="Helvetica" w:cs="Helvetica"/>
          <w:lang w:eastAsia="en-US"/>
        </w:rPr>
        <w:t xml:space="preserve"> (no carrier system)</w:t>
      </w:r>
      <w:r w:rsidR="00647529" w:rsidRPr="00515C1C">
        <w:rPr>
          <w:rFonts w:ascii="Helvetica" w:hAnsi="Helvetica" w:cs="Helvetica"/>
          <w:lang w:eastAsia="en-US"/>
        </w:rPr>
        <w:t xml:space="preserve"> did not generate particles that could be detected using the </w:t>
      </w:r>
      <w:proofErr w:type="spellStart"/>
      <w:r w:rsidR="00647529" w:rsidRPr="00515C1C">
        <w:rPr>
          <w:rFonts w:ascii="Helvetica" w:hAnsi="Helvetica" w:cs="Helvetica"/>
          <w:lang w:eastAsia="en-US"/>
        </w:rPr>
        <w:t>Zetasizer</w:t>
      </w:r>
      <w:proofErr w:type="spellEnd"/>
      <w:r w:rsidR="00515C1C">
        <w:rPr>
          <w:rFonts w:ascii="Helvetica" w:hAnsi="Helvetica" w:cs="Helvetica"/>
          <w:lang w:eastAsia="en-US"/>
        </w:rPr>
        <w:t xml:space="preserve"> (Figure 2</w:t>
      </w:r>
      <w:r w:rsidR="00456A6C">
        <w:rPr>
          <w:rFonts w:ascii="Helvetica" w:hAnsi="Helvetica" w:cs="Helvetica"/>
          <w:lang w:eastAsia="en-US"/>
        </w:rPr>
        <w:t>A and 2B)</w:t>
      </w:r>
      <w:r w:rsidR="006F259A">
        <w:rPr>
          <w:lang w:val="en-US"/>
        </w:rPr>
        <w:t>.</w:t>
      </w:r>
      <w:r w:rsidR="00EA6923" w:rsidRPr="00572CB4">
        <w:rPr>
          <w:lang w:val="en-AU"/>
        </w:rPr>
        <w:t xml:space="preserve"> </w:t>
      </w:r>
      <w:r w:rsidR="007077BC" w:rsidRPr="00572CB4">
        <w:rPr>
          <w:lang w:val="en-US"/>
        </w:rPr>
        <w:t>The formulations with</w:t>
      </w:r>
      <w:r w:rsidR="00EE1B0D">
        <w:rPr>
          <w:lang w:val="en-US"/>
        </w:rPr>
        <w:t xml:space="preserve"> TP</w:t>
      </w:r>
      <w:r w:rsidR="007077BC" w:rsidRPr="00572CB4">
        <w:rPr>
          <w:lang w:val="en-US"/>
        </w:rPr>
        <w:t xml:space="preserve"> polymer showed significant increase in GFP expression compared to negative control and was at comparable levels to the positive control</w:t>
      </w:r>
      <w:r w:rsidR="00A34190">
        <w:rPr>
          <w:lang w:val="en-US"/>
        </w:rPr>
        <w:t xml:space="preserve">, </w:t>
      </w:r>
      <w:r w:rsidR="00A34190" w:rsidRPr="00EE1B0D">
        <w:rPr>
          <w:lang w:val="en-US"/>
        </w:rPr>
        <w:t>which is the maximum mRNA efficacy</w:t>
      </w:r>
      <w:r w:rsidR="000B3B90">
        <w:rPr>
          <w:lang w:val="en-US"/>
        </w:rPr>
        <w:t>,</w:t>
      </w:r>
      <w:r w:rsidR="007077BC" w:rsidRPr="00572CB4">
        <w:rPr>
          <w:lang w:val="en-US"/>
        </w:rPr>
        <w:t xml:space="preserve"> demonstrating the functionality of the mRNA</w:t>
      </w:r>
      <w:r w:rsidR="002B1B20">
        <w:rPr>
          <w:lang w:val="en-US"/>
        </w:rPr>
        <w:t xml:space="preserve"> in the presence of the carrier</w:t>
      </w:r>
      <w:r w:rsidR="007077BC" w:rsidRPr="00572CB4">
        <w:rPr>
          <w:lang w:val="en-US"/>
        </w:rPr>
        <w:t>.</w:t>
      </w:r>
      <w:r w:rsidR="00A34190" w:rsidRPr="00A34190">
        <w:rPr>
          <w:lang w:val="en-US"/>
        </w:rPr>
        <w:t xml:space="preserve"> </w:t>
      </w:r>
      <w:r w:rsidR="00A34190" w:rsidRPr="00EE1B0D">
        <w:rPr>
          <w:lang w:val="en-US"/>
        </w:rPr>
        <w:t xml:space="preserve">TP0 formulation showed a significant increase in GFP expression but was inconsistent and the increase was ~ ≤25% of the positive control (Figure </w:t>
      </w:r>
      <w:r w:rsidR="00456A6C">
        <w:rPr>
          <w:lang w:val="en-US"/>
        </w:rPr>
        <w:t>2C</w:t>
      </w:r>
      <w:r w:rsidR="00A34190" w:rsidRPr="00EE1B0D">
        <w:rPr>
          <w:lang w:val="en-US"/>
        </w:rPr>
        <w:t>). A potential reason for this could be because no detectable nanoparticles were found in the basolateral chamber for this sample, because without the polymer the lipofectamine + mRNA complexes may not be able to pass through the 5 µm polycarbonate membrane as efficiently or could form nanoparticles.</w:t>
      </w:r>
      <w:r w:rsidR="00A34190" w:rsidRPr="00A34190">
        <w:rPr>
          <w:lang w:val="en-US"/>
        </w:rPr>
        <w:t xml:space="preserve"> </w:t>
      </w:r>
      <w:r w:rsidR="00A34190" w:rsidRPr="00EE1B0D">
        <w:rPr>
          <w:lang w:val="en-US"/>
        </w:rPr>
        <w:t>In general</w:t>
      </w:r>
      <w:r w:rsidR="00A34190">
        <w:rPr>
          <w:lang w:val="en-US"/>
        </w:rPr>
        <w:t>,</w:t>
      </w:r>
      <w:r w:rsidR="00A34190" w:rsidRPr="00EE1B0D">
        <w:rPr>
          <w:lang w:val="en-US"/>
        </w:rPr>
        <w:t xml:space="preserve"> the formulations of mRNA-Lipofectamine-TP can release functional nanoparticles into the media which are able to induce the maximal efficacy of the mRNA in basal RPMI2650 cell model.</w:t>
      </w:r>
    </w:p>
    <w:p w14:paraId="5AEE908F" w14:textId="5808D1E8" w:rsidR="00915986" w:rsidRDefault="00144366" w:rsidP="00370D0F">
      <w:pPr>
        <w:spacing w:after="0"/>
        <w:jc w:val="center"/>
      </w:pPr>
      <w:r w:rsidRPr="00144366">
        <w:rPr>
          <w:noProof/>
        </w:rPr>
        <w:drawing>
          <wp:inline distT="0" distB="0" distL="0" distR="0" wp14:anchorId="65698C04" wp14:editId="68E45C9F">
            <wp:extent cx="5204132" cy="1557441"/>
            <wp:effectExtent l="0" t="0" r="3175" b="5080"/>
            <wp:docPr id="799902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02865" name="Picture 1"/>
                    <pic:cNvPicPr/>
                  </pic:nvPicPr>
                  <pic:blipFill>
                    <a:blip r:embed="rId12">
                      <a:extLst>
                        <a:ext uri="{96DAC541-7B7A-43D3-8B79-37D633B846F1}">
                          <asvg:svgBlip xmlns:asvg="http://schemas.microsoft.com/office/drawing/2016/SVG/main" r:embed="rId13"/>
                        </a:ext>
                      </a:extLst>
                    </a:blip>
                    <a:stretch>
                      <a:fillRect/>
                    </a:stretch>
                  </pic:blipFill>
                  <pic:spPr>
                    <a:xfrm>
                      <a:off x="0" y="0"/>
                      <a:ext cx="5291518" cy="1583593"/>
                    </a:xfrm>
                    <a:prstGeom prst="rect">
                      <a:avLst/>
                    </a:prstGeom>
                  </pic:spPr>
                </pic:pic>
              </a:graphicData>
            </a:graphic>
          </wp:inline>
        </w:drawing>
      </w:r>
    </w:p>
    <w:p w14:paraId="69323100" w14:textId="7A50128B" w:rsidR="00D50AB6" w:rsidRPr="004506DE" w:rsidRDefault="00915986" w:rsidP="00962C50">
      <w:pPr>
        <w:pStyle w:val="Caption"/>
        <w:rPr>
          <w:sz w:val="18"/>
          <w:szCs w:val="18"/>
        </w:rPr>
      </w:pPr>
      <w:r w:rsidRPr="004506DE">
        <w:rPr>
          <w:sz w:val="18"/>
          <w:szCs w:val="18"/>
        </w:rPr>
        <w:t xml:space="preserve">Figure </w:t>
      </w:r>
      <w:r w:rsidR="00515C1C" w:rsidRPr="004506DE">
        <w:rPr>
          <w:sz w:val="18"/>
          <w:szCs w:val="18"/>
        </w:rPr>
        <w:t>2</w:t>
      </w:r>
      <w:r w:rsidRPr="004506DE">
        <w:rPr>
          <w:sz w:val="18"/>
          <w:szCs w:val="18"/>
        </w:rPr>
        <w:t>–</w:t>
      </w:r>
      <w:r w:rsidR="002B38CF" w:rsidRPr="004506DE">
        <w:rPr>
          <w:sz w:val="18"/>
          <w:szCs w:val="18"/>
        </w:rPr>
        <w:t xml:space="preserve"> (A</w:t>
      </w:r>
      <w:r w:rsidR="000B3B90" w:rsidRPr="004506DE">
        <w:rPr>
          <w:sz w:val="18"/>
          <w:szCs w:val="18"/>
        </w:rPr>
        <w:t xml:space="preserve"> &amp;B</w:t>
      </w:r>
      <w:r w:rsidR="002B38CF" w:rsidRPr="004506DE">
        <w:rPr>
          <w:sz w:val="18"/>
          <w:szCs w:val="18"/>
        </w:rPr>
        <w:t xml:space="preserve">) </w:t>
      </w:r>
      <w:proofErr w:type="spellStart"/>
      <w:r w:rsidR="00FD6C0B" w:rsidRPr="004506DE">
        <w:rPr>
          <w:sz w:val="18"/>
          <w:szCs w:val="18"/>
        </w:rPr>
        <w:t>Zetasizer</w:t>
      </w:r>
      <w:proofErr w:type="spellEnd"/>
      <w:r w:rsidR="00FD6C0B" w:rsidRPr="004506DE">
        <w:rPr>
          <w:sz w:val="18"/>
          <w:szCs w:val="18"/>
        </w:rPr>
        <w:t xml:space="preserve"> analysis of the </w:t>
      </w:r>
      <w:r w:rsidR="0041094C" w:rsidRPr="0041094C">
        <w:rPr>
          <w:sz w:val="18"/>
          <w:szCs w:val="18"/>
        </w:rPr>
        <w:t>nanoparticle’s</w:t>
      </w:r>
      <w:r w:rsidR="00FD6C0B" w:rsidRPr="004506DE">
        <w:rPr>
          <w:sz w:val="18"/>
          <w:szCs w:val="18"/>
        </w:rPr>
        <w:t xml:space="preserve"> formation</w:t>
      </w:r>
      <w:r w:rsidR="00456A6C" w:rsidRPr="004506DE">
        <w:rPr>
          <w:sz w:val="18"/>
          <w:szCs w:val="18"/>
        </w:rPr>
        <w:t xml:space="preserve"> ability</w:t>
      </w:r>
      <w:r w:rsidR="00FD6C0B" w:rsidRPr="004506DE">
        <w:rPr>
          <w:sz w:val="18"/>
          <w:szCs w:val="18"/>
        </w:rPr>
        <w:t xml:space="preserve"> in the formulations and (</w:t>
      </w:r>
      <w:r w:rsidR="007613A9" w:rsidRPr="004506DE">
        <w:rPr>
          <w:sz w:val="18"/>
          <w:szCs w:val="18"/>
        </w:rPr>
        <w:t>C</w:t>
      </w:r>
      <w:r w:rsidR="00FD6C0B" w:rsidRPr="004506DE">
        <w:rPr>
          <w:sz w:val="18"/>
          <w:szCs w:val="18"/>
        </w:rPr>
        <w:t>)</w:t>
      </w:r>
      <w:r w:rsidR="00D50AB6" w:rsidRPr="004506DE">
        <w:rPr>
          <w:sz w:val="18"/>
          <w:szCs w:val="18"/>
        </w:rPr>
        <w:t xml:space="preserve"> Functional assay of mRNA-Lipofectamine-TP formulations</w:t>
      </w:r>
      <w:r w:rsidR="007613A9" w:rsidRPr="004506DE">
        <w:rPr>
          <w:sz w:val="18"/>
          <w:szCs w:val="18"/>
        </w:rPr>
        <w:t xml:space="preserve"> (n=3; </w:t>
      </w:r>
      <w:proofErr w:type="spellStart"/>
      <w:r w:rsidR="007613A9" w:rsidRPr="004506DE">
        <w:rPr>
          <w:sz w:val="18"/>
          <w:szCs w:val="18"/>
        </w:rPr>
        <w:t>StD</w:t>
      </w:r>
      <w:proofErr w:type="spellEnd"/>
      <w:r w:rsidR="007613A9" w:rsidRPr="004506DE">
        <w:rPr>
          <w:sz w:val="18"/>
          <w:szCs w:val="18"/>
        </w:rPr>
        <w:t>)</w:t>
      </w:r>
      <w:r w:rsidR="00D50AB6" w:rsidRPr="004506DE">
        <w:rPr>
          <w:sz w:val="18"/>
          <w:szCs w:val="18"/>
        </w:rPr>
        <w:t xml:space="preserve">. </w:t>
      </w:r>
    </w:p>
    <w:p w14:paraId="3FD725B8" w14:textId="0FF95BEA" w:rsidR="00962C50" w:rsidRPr="00412679" w:rsidRDefault="00962C50" w:rsidP="00962C50">
      <w:pPr>
        <w:rPr>
          <w:noProof/>
          <w:lang w:val="en-US"/>
        </w:rPr>
      </w:pPr>
      <w:r w:rsidRPr="008571EA">
        <w:rPr>
          <w:noProof/>
          <w:lang w:val="en-AU"/>
        </w:rPr>
        <w:t xml:space="preserve">The mRNA encapsulation (ability to remain inside the lipid nanoparticles) was used as another indicator of </w:t>
      </w:r>
      <w:r w:rsidR="007613A9">
        <w:rPr>
          <w:noProof/>
          <w:lang w:val="en-AU"/>
        </w:rPr>
        <w:t>mRNA</w:t>
      </w:r>
      <w:r w:rsidR="007613A9" w:rsidRPr="008571EA">
        <w:rPr>
          <w:noProof/>
          <w:lang w:val="en-AU"/>
        </w:rPr>
        <w:t xml:space="preserve"> </w:t>
      </w:r>
      <w:r w:rsidRPr="008571EA">
        <w:rPr>
          <w:noProof/>
          <w:lang w:val="en-AU"/>
        </w:rPr>
        <w:t xml:space="preserve">stability, as only the encapsulated mRNA can be delivered into the cells. Encapsulated mRNA percentage </w:t>
      </w:r>
      <w:r w:rsidR="007613A9">
        <w:rPr>
          <w:noProof/>
          <w:lang w:val="en-AU"/>
        </w:rPr>
        <w:t xml:space="preserve">was </w:t>
      </w:r>
      <w:r w:rsidRPr="008571EA">
        <w:rPr>
          <w:noProof/>
          <w:lang w:val="en-AU"/>
        </w:rPr>
        <w:t xml:space="preserve">calculated by quantifying the amount of leaked mRNA and the total mRNA. The storage condition from fridge and room temperate were analysed for this study at Day 0 and Day 7. The percentage encapsulated </w:t>
      </w:r>
      <w:r w:rsidR="007613A9">
        <w:rPr>
          <w:noProof/>
          <w:lang w:val="en-AU"/>
        </w:rPr>
        <w:t xml:space="preserve">mRNA </w:t>
      </w:r>
      <w:r w:rsidRPr="008571EA">
        <w:rPr>
          <w:noProof/>
          <w:lang w:val="en-AU"/>
        </w:rPr>
        <w:t xml:space="preserve">is shown in Figure </w:t>
      </w:r>
      <w:r>
        <w:rPr>
          <w:noProof/>
          <w:lang w:val="en-AU"/>
        </w:rPr>
        <w:t>3</w:t>
      </w:r>
      <w:r w:rsidRPr="008571EA">
        <w:rPr>
          <w:noProof/>
          <w:lang w:val="en-AU"/>
        </w:rPr>
        <w:t>. There were no statistically significant differences between Day 0 and Day 7 in the formulations stored in the fridge. In the samples stored at room temperature</w:t>
      </w:r>
      <w:r>
        <w:rPr>
          <w:noProof/>
          <w:lang w:val="en-AU"/>
        </w:rPr>
        <w:t>,</w:t>
      </w:r>
      <w:r w:rsidRPr="008571EA">
        <w:rPr>
          <w:noProof/>
          <w:lang w:val="en-AU"/>
        </w:rPr>
        <w:t xml:space="preserve"> TP0 showed a significant reduction in encapsulated mRNA while TP25 and TP35 formulation did not show any significant changes encapsulation. </w:t>
      </w:r>
    </w:p>
    <w:p w14:paraId="3BCEE5DA" w14:textId="77777777" w:rsidR="00962C50" w:rsidRDefault="00962C50" w:rsidP="00962C50">
      <w:pPr>
        <w:jc w:val="center"/>
        <w:rPr>
          <w:lang w:val="en-US" w:eastAsia="en-US"/>
        </w:rPr>
      </w:pPr>
      <w:r w:rsidRPr="002B15F3">
        <w:rPr>
          <w:noProof/>
          <w:lang w:eastAsia="en-US"/>
        </w:rPr>
        <w:drawing>
          <wp:inline distT="0" distB="0" distL="0" distR="0" wp14:anchorId="4976E45C" wp14:editId="3579C488">
            <wp:extent cx="3612889" cy="1390130"/>
            <wp:effectExtent l="0" t="0" r="0" b="0"/>
            <wp:docPr id="1788974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74007" name="Picture 1"/>
                    <pic:cNvPicPr/>
                  </pic:nvPicPr>
                  <pic:blipFill>
                    <a:blip r:embed="rId14">
                      <a:extLst>
                        <a:ext uri="{96DAC541-7B7A-43D3-8B79-37D633B846F1}">
                          <asvg:svgBlip xmlns:asvg="http://schemas.microsoft.com/office/drawing/2016/SVG/main" r:embed="rId15"/>
                        </a:ext>
                      </a:extLst>
                    </a:blip>
                    <a:stretch>
                      <a:fillRect/>
                    </a:stretch>
                  </pic:blipFill>
                  <pic:spPr>
                    <a:xfrm>
                      <a:off x="0" y="0"/>
                      <a:ext cx="3612889" cy="1390130"/>
                    </a:xfrm>
                    <a:prstGeom prst="rect">
                      <a:avLst/>
                    </a:prstGeom>
                  </pic:spPr>
                </pic:pic>
              </a:graphicData>
            </a:graphic>
          </wp:inline>
        </w:drawing>
      </w:r>
    </w:p>
    <w:p w14:paraId="6A830802" w14:textId="6E194377" w:rsidR="00962C50" w:rsidRPr="004506DE" w:rsidRDefault="00962C50" w:rsidP="00962C50">
      <w:pPr>
        <w:pStyle w:val="Caption"/>
        <w:rPr>
          <w:sz w:val="18"/>
          <w:szCs w:val="18"/>
        </w:rPr>
      </w:pPr>
      <w:bookmarkStart w:id="2" w:name="_Ref169810632"/>
      <w:bookmarkStart w:id="3" w:name="_Ref169812229"/>
      <w:r w:rsidRPr="0041094C">
        <w:rPr>
          <w:sz w:val="18"/>
          <w:szCs w:val="18"/>
        </w:rPr>
        <w:t xml:space="preserve">Figure </w:t>
      </w:r>
      <w:bookmarkEnd w:id="2"/>
      <w:r w:rsidRPr="0041094C">
        <w:rPr>
          <w:sz w:val="18"/>
          <w:szCs w:val="18"/>
        </w:rPr>
        <w:t>3 - Percentage of encapsulated mRNA in LNPs</w:t>
      </w:r>
      <w:bookmarkEnd w:id="3"/>
      <w:r w:rsidRPr="0041094C">
        <w:rPr>
          <w:sz w:val="18"/>
          <w:szCs w:val="18"/>
        </w:rPr>
        <w:t xml:space="preserve">. Statistical analysis was conducted using 2-way ANOVA comparing Day 0 to Day 7. </w:t>
      </w:r>
    </w:p>
    <w:p w14:paraId="0C50E88D" w14:textId="0F8581CA" w:rsidR="009F64F9" w:rsidRDefault="009F64F9" w:rsidP="00D515FF">
      <w:pPr>
        <w:spacing w:after="0"/>
      </w:pPr>
      <w:r w:rsidRPr="009F64F9">
        <w:t xml:space="preserve">The </w:t>
      </w:r>
      <w:r w:rsidR="00E8511E">
        <w:t xml:space="preserve">formulation was </w:t>
      </w:r>
      <w:r w:rsidR="002F2F22">
        <w:t xml:space="preserve">then </w:t>
      </w:r>
      <w:r w:rsidRPr="009F64F9">
        <w:t xml:space="preserve">aerosolised using the </w:t>
      </w:r>
      <w:proofErr w:type="spellStart"/>
      <w:r w:rsidRPr="009F64F9">
        <w:t>Bivax</w:t>
      </w:r>
      <w:proofErr w:type="spellEnd"/>
      <w:r w:rsidRPr="009F64F9">
        <w:t xml:space="preserve"> nasal spray device </w:t>
      </w:r>
      <w:r w:rsidR="002F2F22">
        <w:t xml:space="preserve">and the aerosol </w:t>
      </w:r>
      <w:r w:rsidR="002F2F22" w:rsidRPr="009F64F9">
        <w:t xml:space="preserve">particle size </w:t>
      </w:r>
      <w:r w:rsidR="002F2F22">
        <w:t xml:space="preserve">distribution </w:t>
      </w:r>
      <w:r w:rsidRPr="009F64F9">
        <w:t xml:space="preserve">was determined using the </w:t>
      </w:r>
      <w:proofErr w:type="spellStart"/>
      <w:r w:rsidRPr="009F64F9">
        <w:t>Spraytec</w:t>
      </w:r>
      <w:proofErr w:type="spellEnd"/>
      <w:r w:rsidRPr="009F64F9">
        <w:t xml:space="preserve">. Population curves were generated for the TP0, TP25 and TP35 formulations are presented in Figure </w:t>
      </w:r>
      <w:r w:rsidR="00962C50">
        <w:t>4</w:t>
      </w:r>
      <w:r w:rsidR="0041094C">
        <w:t xml:space="preserve"> (Left)</w:t>
      </w:r>
      <w:r w:rsidRPr="009F64F9">
        <w:t xml:space="preserve">. The average data of median volume-based diameter as a well as the geometric </w:t>
      </w:r>
      <w:r w:rsidRPr="009F64F9">
        <w:lastRenderedPageBreak/>
        <w:t xml:space="preserve">standard deviation (GSD) of aerosols are presented in Figure </w:t>
      </w:r>
      <w:r w:rsidR="004506DE">
        <w:t>4</w:t>
      </w:r>
      <w:r w:rsidRPr="009F64F9">
        <w:t xml:space="preserve">. Analysis of the </w:t>
      </w:r>
      <w:r w:rsidR="0041094C">
        <w:t xml:space="preserve">particle size </w:t>
      </w:r>
      <w:r w:rsidRPr="009F64F9">
        <w:t xml:space="preserve">data showed that there were statistically significant increases between Dv10 and Dv90 when comparing TP0 to both TP25 and TP35. For Dv50 there were statistically significant differences between TP0 and TP35. The formulations are appropriate for nasal delivery as most of the particles </w:t>
      </w:r>
      <w:r w:rsidR="0041094C">
        <w:t>were</w:t>
      </w:r>
      <w:r w:rsidRPr="009F64F9">
        <w:t xml:space="preserve"> above 10µm.</w:t>
      </w:r>
    </w:p>
    <w:p w14:paraId="119E52E5" w14:textId="1A9C6DBC" w:rsidR="00E31AE5" w:rsidRDefault="00E31AE5" w:rsidP="00D515FF">
      <w:pPr>
        <w:spacing w:after="0"/>
      </w:pPr>
      <w:r w:rsidRPr="002F45B4">
        <w:rPr>
          <w:noProof/>
        </w:rPr>
        <w:drawing>
          <wp:inline distT="0" distB="0" distL="0" distR="0" wp14:anchorId="7E2A7BB1" wp14:editId="28425843">
            <wp:extent cx="5760720" cy="1456508"/>
            <wp:effectExtent l="0" t="0" r="0" b="0"/>
            <wp:docPr id="204103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33672" name="Picture 1"/>
                    <pic:cNvPicPr/>
                  </pic:nvPicPr>
                  <pic:blipFill>
                    <a:blip r:embed="rId16">
                      <a:extLst>
                        <a:ext uri="{96DAC541-7B7A-43D3-8B79-37D633B846F1}">
                          <asvg:svgBlip xmlns:asvg="http://schemas.microsoft.com/office/drawing/2016/SVG/main" r:embed="rId17"/>
                        </a:ext>
                      </a:extLst>
                    </a:blip>
                    <a:stretch>
                      <a:fillRect/>
                    </a:stretch>
                  </pic:blipFill>
                  <pic:spPr>
                    <a:xfrm>
                      <a:off x="0" y="0"/>
                      <a:ext cx="5760720" cy="1456508"/>
                    </a:xfrm>
                    <a:prstGeom prst="rect">
                      <a:avLst/>
                    </a:prstGeom>
                  </pic:spPr>
                </pic:pic>
              </a:graphicData>
            </a:graphic>
          </wp:inline>
        </w:drawing>
      </w:r>
    </w:p>
    <w:p w14:paraId="2D87DB62" w14:textId="74B49AA6" w:rsidR="00E31AE5" w:rsidRPr="00401543" w:rsidRDefault="00E31AE5" w:rsidP="009F64F9">
      <w:pPr>
        <w:rPr>
          <w:b/>
          <w:bCs/>
        </w:rPr>
      </w:pPr>
      <w:r w:rsidRPr="00401543">
        <w:rPr>
          <w:b/>
          <w:bCs/>
        </w:rPr>
        <w:t xml:space="preserve">Figure </w:t>
      </w:r>
      <w:r w:rsidR="00962C50">
        <w:rPr>
          <w:b/>
          <w:bCs/>
        </w:rPr>
        <w:t>4</w:t>
      </w:r>
      <w:r w:rsidR="00E44876" w:rsidRPr="00401543">
        <w:rPr>
          <w:b/>
          <w:bCs/>
        </w:rPr>
        <w:t xml:space="preserve"> - </w:t>
      </w:r>
      <w:proofErr w:type="spellStart"/>
      <w:r w:rsidR="00E44876" w:rsidRPr="00401543">
        <w:rPr>
          <w:b/>
          <w:bCs/>
        </w:rPr>
        <w:t>Spraytec</w:t>
      </w:r>
      <w:proofErr w:type="spellEnd"/>
      <w:r w:rsidR="00E44876" w:rsidRPr="00401543">
        <w:rPr>
          <w:b/>
          <w:bCs/>
        </w:rPr>
        <w:t xml:space="preserve"> analysis of aerosol particle size population curves</w:t>
      </w:r>
      <w:r w:rsidR="0041094C">
        <w:rPr>
          <w:b/>
          <w:bCs/>
        </w:rPr>
        <w:t xml:space="preserve"> (Left)</w:t>
      </w:r>
      <w:r w:rsidR="00E44876" w:rsidRPr="00401543">
        <w:rPr>
          <w:b/>
          <w:bCs/>
        </w:rPr>
        <w:t xml:space="preserve"> </w:t>
      </w:r>
      <w:r w:rsidR="00401543" w:rsidRPr="00401543">
        <w:rPr>
          <w:b/>
          <w:bCs/>
        </w:rPr>
        <w:t xml:space="preserve">together with the </w:t>
      </w:r>
      <w:r w:rsidR="00E44876" w:rsidRPr="00401543">
        <w:rPr>
          <w:b/>
          <w:bCs/>
        </w:rPr>
        <w:t>calculated Dv10, Dv50, Dv90 and GSD graphs</w:t>
      </w:r>
      <w:r w:rsidR="0041094C">
        <w:rPr>
          <w:b/>
          <w:bCs/>
        </w:rPr>
        <w:t xml:space="preserve"> (Right)</w:t>
      </w:r>
      <w:r w:rsidR="00E44876" w:rsidRPr="00401543">
        <w:rPr>
          <w:b/>
          <w:bCs/>
        </w:rPr>
        <w:t>. Statistical analysis was conducted using One-way</w:t>
      </w:r>
      <w:r w:rsidR="0041094C">
        <w:rPr>
          <w:b/>
          <w:bCs/>
        </w:rPr>
        <w:t xml:space="preserve"> ANOVA (n=3)</w:t>
      </w:r>
    </w:p>
    <w:p w14:paraId="52E49B7D" w14:textId="768A1533" w:rsidR="00572CB4" w:rsidRDefault="00F028AC" w:rsidP="00D515FF">
      <w:pPr>
        <w:spacing w:after="0"/>
        <w:rPr>
          <w:lang w:val="en-AU"/>
        </w:rPr>
      </w:pPr>
      <w:r w:rsidRPr="00F028AC">
        <w:rPr>
          <w:lang w:val="en-AU"/>
        </w:rPr>
        <w:t xml:space="preserve">Nasal cast deposition using the BIVAX nasal spray device (Figure </w:t>
      </w:r>
      <w:r w:rsidR="00962C50">
        <w:rPr>
          <w:lang w:val="en-AU"/>
        </w:rPr>
        <w:t>5)</w:t>
      </w:r>
      <w:r w:rsidRPr="00F028AC">
        <w:rPr>
          <w:lang w:val="en-AU"/>
        </w:rPr>
        <w:t xml:space="preserve"> demonstrated that the formulations</w:t>
      </w:r>
      <w:r w:rsidR="002B1B20">
        <w:rPr>
          <w:lang w:val="en-AU"/>
        </w:rPr>
        <w:t xml:space="preserve"> with the carrier system (TP25 and TP35)</w:t>
      </w:r>
      <w:r w:rsidRPr="00F028AC">
        <w:rPr>
          <w:lang w:val="en-AU"/>
        </w:rPr>
        <w:t xml:space="preserve"> were all effectively delivered to the nasal cavity and covered a large </w:t>
      </w:r>
      <w:r w:rsidR="0041094C">
        <w:rPr>
          <w:lang w:val="en-AU"/>
        </w:rPr>
        <w:t>area</w:t>
      </w:r>
      <w:r w:rsidR="0041094C" w:rsidRPr="00F028AC">
        <w:rPr>
          <w:lang w:val="en-AU"/>
        </w:rPr>
        <w:t xml:space="preserve"> </w:t>
      </w:r>
      <w:r w:rsidRPr="00F028AC">
        <w:rPr>
          <w:lang w:val="en-AU"/>
        </w:rPr>
        <w:t xml:space="preserve">of the cavity by 20 min. The TP0 formulation had a lesser region of deposition and coverage most likely due to a substantial amount (100 µL ± 20 µL) of nasal dripping observed </w:t>
      </w:r>
      <w:r w:rsidR="002B1B20">
        <w:rPr>
          <w:lang w:val="en-AU"/>
        </w:rPr>
        <w:t>immediately</w:t>
      </w:r>
      <w:r w:rsidRPr="00F028AC">
        <w:rPr>
          <w:lang w:val="en-AU"/>
        </w:rPr>
        <w:t xml:space="preserve"> after delivery. the TP25 formulation did not demonstrate any dripping until the 20</w:t>
      </w:r>
      <w:r w:rsidR="00AC4609">
        <w:rPr>
          <w:lang w:val="en-AU"/>
        </w:rPr>
        <w:t xml:space="preserve"> </w:t>
      </w:r>
      <w:r w:rsidRPr="00F028AC">
        <w:rPr>
          <w:lang w:val="en-AU"/>
        </w:rPr>
        <w:t>min time point whe</w:t>
      </w:r>
      <w:r w:rsidR="0041094C">
        <w:rPr>
          <w:lang w:val="en-AU"/>
        </w:rPr>
        <w:t>n</w:t>
      </w:r>
      <w:r w:rsidRPr="00F028AC">
        <w:rPr>
          <w:lang w:val="en-AU"/>
        </w:rPr>
        <w:t xml:space="preserve"> some throat dripping was observed. No visible dripping was observed for TP35 formulation over the 0-20 min time points. </w:t>
      </w:r>
    </w:p>
    <w:p w14:paraId="5E575903" w14:textId="5FF8264E" w:rsidR="00ED226D" w:rsidRDefault="002266BA" w:rsidP="002B15F3">
      <w:pPr>
        <w:jc w:val="center"/>
      </w:pPr>
      <w:r>
        <w:rPr>
          <w:noProof/>
        </w:rPr>
        <w:drawing>
          <wp:inline distT="0" distB="0" distL="0" distR="0" wp14:anchorId="4BFEA592" wp14:editId="22F1666A">
            <wp:extent cx="5060887" cy="2250724"/>
            <wp:effectExtent l="0" t="0" r="0" b="0"/>
            <wp:docPr id="11973694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12343" cy="2273608"/>
                    </a:xfrm>
                    <a:prstGeom prst="rect">
                      <a:avLst/>
                    </a:prstGeom>
                    <a:noFill/>
                  </pic:spPr>
                </pic:pic>
              </a:graphicData>
            </a:graphic>
          </wp:inline>
        </w:drawing>
      </w:r>
    </w:p>
    <w:p w14:paraId="565591A1" w14:textId="4B500731" w:rsidR="00364EB3" w:rsidRPr="004506DE" w:rsidRDefault="001929F9" w:rsidP="001929F9">
      <w:pPr>
        <w:pStyle w:val="Caption"/>
        <w:rPr>
          <w:sz w:val="18"/>
          <w:szCs w:val="18"/>
        </w:rPr>
      </w:pPr>
      <w:r w:rsidRPr="004506DE">
        <w:rPr>
          <w:sz w:val="18"/>
          <w:szCs w:val="18"/>
        </w:rPr>
        <w:t xml:space="preserve">Figure </w:t>
      </w:r>
      <w:r w:rsidR="00962C50" w:rsidRPr="004506DE">
        <w:rPr>
          <w:sz w:val="18"/>
          <w:szCs w:val="18"/>
        </w:rPr>
        <w:t xml:space="preserve">5 </w:t>
      </w:r>
      <w:r w:rsidR="00FC358C" w:rsidRPr="004506DE">
        <w:rPr>
          <w:sz w:val="18"/>
          <w:szCs w:val="18"/>
        </w:rPr>
        <w:t>–</w:t>
      </w:r>
      <w:r w:rsidRPr="004506DE">
        <w:rPr>
          <w:sz w:val="18"/>
          <w:szCs w:val="18"/>
        </w:rPr>
        <w:t xml:space="preserve"> </w:t>
      </w:r>
      <w:r w:rsidR="006A12DD" w:rsidRPr="004506DE">
        <w:rPr>
          <w:sz w:val="18"/>
          <w:szCs w:val="18"/>
        </w:rPr>
        <w:t>Qualitative representative images of the nasal cast deposition of the formulations from 0-20min. The white area represents the area of deposition in the nasal cast.</w:t>
      </w:r>
    </w:p>
    <w:p w14:paraId="0B1D98ED" w14:textId="5E6A8551" w:rsidR="0041094C" w:rsidRPr="004506DE" w:rsidRDefault="0041094C" w:rsidP="0045737A">
      <w:pPr>
        <w:spacing w:after="120"/>
        <w:rPr>
          <w:b/>
          <w:bCs/>
        </w:rPr>
      </w:pPr>
      <w:r w:rsidRPr="004506DE">
        <w:rPr>
          <w:b/>
          <w:bCs/>
        </w:rPr>
        <w:t>Conclusions</w:t>
      </w:r>
    </w:p>
    <w:p w14:paraId="203C6C13" w14:textId="132C62AF" w:rsidR="0041094C" w:rsidRPr="0041094C" w:rsidRDefault="0041094C" w:rsidP="0045737A">
      <w:pPr>
        <w:spacing w:after="120"/>
      </w:pPr>
      <w:r w:rsidRPr="0041094C">
        <w:t xml:space="preserve">The novel TP thermosensitive polymer demonstrates promising potential as an alternative excipient for mRNA delivery in the nasal cavity. It improves mRNA delivery to nasal cells, enhances nanoparticle stability at room temperature, and offers greater retention in the </w:t>
      </w:r>
      <w:r w:rsidR="0092160E">
        <w:t xml:space="preserve">cast of the </w:t>
      </w:r>
      <w:r w:rsidRPr="0041094C">
        <w:t>nasal cavity.</w:t>
      </w:r>
    </w:p>
    <w:p w14:paraId="57DCC0FB" w14:textId="77777777" w:rsidR="007D307A" w:rsidRPr="00BD68AD" w:rsidRDefault="007D307A" w:rsidP="0045737A">
      <w:pPr>
        <w:pStyle w:val="DDLHeading1"/>
        <w:spacing w:before="0" w:after="120"/>
      </w:pPr>
      <w:r w:rsidRPr="00BD68AD">
        <w:t>References</w:t>
      </w:r>
    </w:p>
    <w:p w14:paraId="01C4330A" w14:textId="3A8F3CD5" w:rsidR="004D3967" w:rsidRPr="00E84232" w:rsidRDefault="004D3967" w:rsidP="004D3967">
      <w:pPr>
        <w:pStyle w:val="DDLBodyText"/>
        <w:numPr>
          <w:ilvl w:val="0"/>
          <w:numId w:val="9"/>
        </w:numPr>
        <w:snapToGrid w:val="0"/>
        <w:spacing w:after="0"/>
        <w:ind w:left="426" w:hanging="426"/>
        <w:rPr>
          <w:sz w:val="16"/>
          <w:szCs w:val="16"/>
        </w:rPr>
      </w:pPr>
      <w:r w:rsidRPr="00E84232">
        <w:rPr>
          <w:sz w:val="16"/>
          <w:szCs w:val="16"/>
        </w:rPr>
        <w:t>Barik, S., &amp; Lu, P. (2015). Therapy of respiratory viral infections with intranasal siRNAs. In RNA Interference (pp. 251-262). Humana Press, New York, NY.</w:t>
      </w:r>
    </w:p>
    <w:p w14:paraId="3F84BDAB" w14:textId="5C2B029C" w:rsidR="004D3967" w:rsidRPr="00E84232" w:rsidRDefault="004D3967" w:rsidP="004D3967">
      <w:pPr>
        <w:pStyle w:val="DDLBodyText"/>
        <w:numPr>
          <w:ilvl w:val="0"/>
          <w:numId w:val="9"/>
        </w:numPr>
        <w:snapToGrid w:val="0"/>
        <w:spacing w:after="0"/>
        <w:ind w:left="426" w:hanging="426"/>
        <w:rPr>
          <w:sz w:val="16"/>
          <w:szCs w:val="16"/>
        </w:rPr>
      </w:pPr>
      <w:r w:rsidRPr="00E84232">
        <w:rPr>
          <w:sz w:val="16"/>
          <w:szCs w:val="16"/>
        </w:rPr>
        <w:t xml:space="preserve">Gholizadeh, H., Cheng, S., Pozzoli, M., </w:t>
      </w:r>
      <w:proofErr w:type="spellStart"/>
      <w:r w:rsidR="00B05B4A" w:rsidRPr="00E84232">
        <w:rPr>
          <w:sz w:val="16"/>
          <w:szCs w:val="16"/>
        </w:rPr>
        <w:t>Messerotti</w:t>
      </w:r>
      <w:proofErr w:type="spellEnd"/>
      <w:r w:rsidR="00E25F72" w:rsidRPr="00E84232">
        <w:rPr>
          <w:sz w:val="16"/>
          <w:szCs w:val="16"/>
        </w:rPr>
        <w:t xml:space="preserve">, E., Traini, D., Young, P., </w:t>
      </w:r>
      <w:proofErr w:type="spellStart"/>
      <w:r w:rsidR="00E25F72" w:rsidRPr="00E84232">
        <w:rPr>
          <w:sz w:val="16"/>
          <w:szCs w:val="16"/>
        </w:rPr>
        <w:t>Kourmatzis</w:t>
      </w:r>
      <w:proofErr w:type="spellEnd"/>
      <w:r w:rsidR="00E25F72" w:rsidRPr="00E84232">
        <w:rPr>
          <w:sz w:val="16"/>
          <w:szCs w:val="16"/>
        </w:rPr>
        <w:t>, A.</w:t>
      </w:r>
      <w:r w:rsidR="00EE62E3" w:rsidRPr="00E84232">
        <w:rPr>
          <w:sz w:val="16"/>
          <w:szCs w:val="16"/>
        </w:rPr>
        <w:t xml:space="preserve"> &amp;</w:t>
      </w:r>
      <w:r w:rsidR="00E25F72" w:rsidRPr="00E84232">
        <w:rPr>
          <w:sz w:val="16"/>
          <w:szCs w:val="16"/>
        </w:rPr>
        <w:t xml:space="preserve"> Ong, H. X., </w:t>
      </w:r>
      <w:r w:rsidRPr="00E84232">
        <w:rPr>
          <w:sz w:val="16"/>
          <w:szCs w:val="16"/>
        </w:rPr>
        <w:t xml:space="preserve">(2019). Smart thermosensitive chitosan hydrogel for nasal delivery of ibuprofen to treat neurological disorders. Expert </w:t>
      </w:r>
      <w:proofErr w:type="spellStart"/>
      <w:r w:rsidRPr="00E84232">
        <w:rPr>
          <w:sz w:val="16"/>
          <w:szCs w:val="16"/>
        </w:rPr>
        <w:t>Opin</w:t>
      </w:r>
      <w:proofErr w:type="spellEnd"/>
      <w:r w:rsidRPr="00E84232">
        <w:rPr>
          <w:sz w:val="16"/>
          <w:szCs w:val="16"/>
        </w:rPr>
        <w:t xml:space="preserve"> Drug Deliv. 16(4):453-466.</w:t>
      </w:r>
    </w:p>
    <w:p w14:paraId="2D52E17F" w14:textId="76E45793" w:rsidR="004D3967" w:rsidRPr="00E84232" w:rsidRDefault="004D3967" w:rsidP="004D3967">
      <w:pPr>
        <w:pStyle w:val="DDLBodyText"/>
        <w:numPr>
          <w:ilvl w:val="0"/>
          <w:numId w:val="9"/>
        </w:numPr>
        <w:snapToGrid w:val="0"/>
        <w:spacing w:after="0"/>
        <w:ind w:left="426" w:hanging="426"/>
        <w:rPr>
          <w:sz w:val="16"/>
          <w:szCs w:val="16"/>
        </w:rPr>
      </w:pPr>
      <w:r w:rsidRPr="00E84232">
        <w:rPr>
          <w:sz w:val="16"/>
          <w:szCs w:val="16"/>
        </w:rPr>
        <w:t>Phua, K., Staats, H., Leong, K.</w:t>
      </w:r>
      <w:r w:rsidR="00EE62E3" w:rsidRPr="00E84232">
        <w:rPr>
          <w:sz w:val="16"/>
          <w:szCs w:val="16"/>
        </w:rPr>
        <w:t xml:space="preserve"> &amp; Nair, S. K.</w:t>
      </w:r>
      <w:r w:rsidRPr="00E84232">
        <w:rPr>
          <w:sz w:val="16"/>
          <w:szCs w:val="16"/>
        </w:rPr>
        <w:t xml:space="preserve"> (2014). Intranasal mRNA nanoparticle vaccination induces prophylactic and therapeutic anti-</w:t>
      </w:r>
      <w:proofErr w:type="spellStart"/>
      <w:r w:rsidRPr="00E84232">
        <w:rPr>
          <w:sz w:val="16"/>
          <w:szCs w:val="16"/>
        </w:rPr>
        <w:t>tumor</w:t>
      </w:r>
      <w:proofErr w:type="spellEnd"/>
      <w:r w:rsidRPr="00E84232">
        <w:rPr>
          <w:sz w:val="16"/>
          <w:szCs w:val="16"/>
        </w:rPr>
        <w:t xml:space="preserve"> immunity. Sci Rep 4, 5128. https://doi.org/10.1038/srep05128</w:t>
      </w:r>
    </w:p>
    <w:p w14:paraId="6A6E5D72" w14:textId="5349A05D" w:rsidR="004D3967" w:rsidRPr="00E84232" w:rsidRDefault="004D3967" w:rsidP="004D3967">
      <w:pPr>
        <w:pStyle w:val="DDLBodyText"/>
        <w:numPr>
          <w:ilvl w:val="0"/>
          <w:numId w:val="9"/>
        </w:numPr>
        <w:snapToGrid w:val="0"/>
        <w:spacing w:after="0"/>
        <w:ind w:left="426" w:hanging="426"/>
        <w:rPr>
          <w:sz w:val="16"/>
          <w:szCs w:val="16"/>
        </w:rPr>
      </w:pPr>
      <w:r w:rsidRPr="00E84232">
        <w:rPr>
          <w:sz w:val="16"/>
          <w:szCs w:val="16"/>
        </w:rPr>
        <w:t xml:space="preserve">Yusuf, H., &amp; Kett, V. (2017). Current prospects and future challenges for nasal vaccine delivery. Human vaccines &amp; </w:t>
      </w:r>
      <w:proofErr w:type="spellStart"/>
      <w:r w:rsidRPr="00E84232">
        <w:rPr>
          <w:sz w:val="16"/>
          <w:szCs w:val="16"/>
        </w:rPr>
        <w:t>immunotherapeutics</w:t>
      </w:r>
      <w:proofErr w:type="spellEnd"/>
      <w:r w:rsidRPr="00E84232">
        <w:rPr>
          <w:sz w:val="16"/>
          <w:szCs w:val="16"/>
        </w:rPr>
        <w:t>, 13(1), 34–45. https://doi.org/10.1080/21645515.2016.1239668</w:t>
      </w:r>
    </w:p>
    <w:p w14:paraId="3D852F3A" w14:textId="4BA34FA6" w:rsidR="004D3967" w:rsidRPr="00E84232" w:rsidRDefault="004D3967" w:rsidP="004D3967">
      <w:pPr>
        <w:pStyle w:val="DDLBodyText"/>
        <w:numPr>
          <w:ilvl w:val="0"/>
          <w:numId w:val="9"/>
        </w:numPr>
        <w:snapToGrid w:val="0"/>
        <w:spacing w:after="0"/>
        <w:ind w:left="426" w:hanging="426"/>
        <w:rPr>
          <w:sz w:val="16"/>
          <w:szCs w:val="16"/>
        </w:rPr>
      </w:pPr>
      <w:r w:rsidRPr="00E51B00">
        <w:rPr>
          <w:sz w:val="16"/>
          <w:szCs w:val="16"/>
          <w:lang w:val="de-DE"/>
        </w:rPr>
        <w:t xml:space="preserve">Keller, LA., Merkel, O. &amp; Popp, A. (2021). </w:t>
      </w:r>
      <w:r w:rsidRPr="00E84232">
        <w:rPr>
          <w:sz w:val="16"/>
          <w:szCs w:val="16"/>
        </w:rPr>
        <w:t xml:space="preserve">Intranasal drug delivery: opportunities and </w:t>
      </w:r>
      <w:proofErr w:type="spellStart"/>
      <w:r w:rsidRPr="00E84232">
        <w:rPr>
          <w:sz w:val="16"/>
          <w:szCs w:val="16"/>
        </w:rPr>
        <w:t>toxicologicchallenges</w:t>
      </w:r>
      <w:proofErr w:type="spellEnd"/>
      <w:r w:rsidRPr="00E84232">
        <w:rPr>
          <w:sz w:val="16"/>
          <w:szCs w:val="16"/>
        </w:rPr>
        <w:t xml:space="preserve"> during drug development. Drug Deliv. and Transl. Res. https://doi.org/10.1007/s13346-020-00891-5</w:t>
      </w:r>
    </w:p>
    <w:p w14:paraId="00990938" w14:textId="7C83C4E2" w:rsidR="004D3967" w:rsidRPr="00E84232" w:rsidRDefault="004D3967" w:rsidP="004D3967">
      <w:pPr>
        <w:pStyle w:val="DDLBodyText"/>
        <w:numPr>
          <w:ilvl w:val="0"/>
          <w:numId w:val="9"/>
        </w:numPr>
        <w:snapToGrid w:val="0"/>
        <w:spacing w:after="0"/>
        <w:ind w:left="426" w:hanging="426"/>
        <w:rPr>
          <w:sz w:val="16"/>
          <w:szCs w:val="16"/>
        </w:rPr>
      </w:pPr>
      <w:r w:rsidRPr="00E51B00">
        <w:rPr>
          <w:sz w:val="16"/>
          <w:szCs w:val="16"/>
          <w:lang w:val="de-DE"/>
        </w:rPr>
        <w:t xml:space="preserve">Li, M., Zhao, M., Fu, Y., Li, Y., Gong, T., Zhang, Z., &amp; Sun, X. (2016). </w:t>
      </w:r>
      <w:r w:rsidRPr="00E84232">
        <w:rPr>
          <w:sz w:val="16"/>
          <w:szCs w:val="16"/>
        </w:rPr>
        <w:t>Enhanced intranasal delivery of mRNA vaccine by overcoming the nasal epithelial barrier via intra-and paracellular pathways. Journal of Controlled Release, 228, 9-19.</w:t>
      </w:r>
    </w:p>
    <w:p w14:paraId="57DCC100" w14:textId="7E87FBC7" w:rsidR="00A515A9" w:rsidRPr="00E84232" w:rsidRDefault="004D3967" w:rsidP="0042029D">
      <w:pPr>
        <w:pStyle w:val="DDLBodyText"/>
        <w:numPr>
          <w:ilvl w:val="0"/>
          <w:numId w:val="9"/>
        </w:numPr>
        <w:snapToGrid w:val="0"/>
        <w:spacing w:after="0"/>
        <w:ind w:left="426" w:hanging="426"/>
        <w:rPr>
          <w:sz w:val="16"/>
          <w:szCs w:val="16"/>
        </w:rPr>
      </w:pPr>
      <w:r w:rsidRPr="00E84232">
        <w:rPr>
          <w:sz w:val="16"/>
          <w:szCs w:val="16"/>
        </w:rPr>
        <w:t xml:space="preserve">Young, P.M., Traini, D., Ong, H.X., </w:t>
      </w:r>
      <w:r w:rsidR="004413A8" w:rsidRPr="00E84232">
        <w:rPr>
          <w:sz w:val="16"/>
          <w:szCs w:val="16"/>
        </w:rPr>
        <w:t>Granieri</w:t>
      </w:r>
      <w:r w:rsidR="00985407" w:rsidRPr="00E84232">
        <w:rPr>
          <w:sz w:val="16"/>
          <w:szCs w:val="16"/>
        </w:rPr>
        <w:t>,</w:t>
      </w:r>
      <w:r w:rsidR="004413A8" w:rsidRPr="00E84232">
        <w:rPr>
          <w:sz w:val="16"/>
          <w:szCs w:val="16"/>
        </w:rPr>
        <w:t xml:space="preserve"> A</w:t>
      </w:r>
      <w:r w:rsidR="00985407" w:rsidRPr="00E84232">
        <w:rPr>
          <w:sz w:val="16"/>
          <w:szCs w:val="16"/>
        </w:rPr>
        <w:t>.</w:t>
      </w:r>
      <w:r w:rsidR="004413A8" w:rsidRPr="00E84232">
        <w:rPr>
          <w:sz w:val="16"/>
          <w:szCs w:val="16"/>
        </w:rPr>
        <w:t>, Zhu</w:t>
      </w:r>
      <w:r w:rsidR="00985407" w:rsidRPr="00E84232">
        <w:rPr>
          <w:sz w:val="16"/>
          <w:szCs w:val="16"/>
        </w:rPr>
        <w:t>,</w:t>
      </w:r>
      <w:r w:rsidR="004413A8" w:rsidRPr="00E84232">
        <w:rPr>
          <w:sz w:val="16"/>
          <w:szCs w:val="16"/>
        </w:rPr>
        <w:t xml:space="preserve"> B</w:t>
      </w:r>
      <w:r w:rsidR="00985407" w:rsidRPr="00E84232">
        <w:rPr>
          <w:sz w:val="16"/>
          <w:szCs w:val="16"/>
        </w:rPr>
        <w:t>.</w:t>
      </w:r>
      <w:r w:rsidR="004413A8" w:rsidRPr="00E84232">
        <w:rPr>
          <w:sz w:val="16"/>
          <w:szCs w:val="16"/>
        </w:rPr>
        <w:t>, Scalia</w:t>
      </w:r>
      <w:r w:rsidR="00985407" w:rsidRPr="00E84232">
        <w:rPr>
          <w:sz w:val="16"/>
          <w:szCs w:val="16"/>
        </w:rPr>
        <w:t>,</w:t>
      </w:r>
      <w:r w:rsidR="004413A8" w:rsidRPr="00E84232">
        <w:rPr>
          <w:sz w:val="16"/>
          <w:szCs w:val="16"/>
        </w:rPr>
        <w:t xml:space="preserve"> S</w:t>
      </w:r>
      <w:r w:rsidR="00985407" w:rsidRPr="00E84232">
        <w:rPr>
          <w:sz w:val="16"/>
          <w:szCs w:val="16"/>
        </w:rPr>
        <w:t>.</w:t>
      </w:r>
      <w:r w:rsidR="004413A8" w:rsidRPr="00E84232">
        <w:rPr>
          <w:sz w:val="16"/>
          <w:szCs w:val="16"/>
        </w:rPr>
        <w:t>, Song</w:t>
      </w:r>
      <w:r w:rsidR="00985407" w:rsidRPr="00E84232">
        <w:rPr>
          <w:sz w:val="16"/>
          <w:szCs w:val="16"/>
        </w:rPr>
        <w:t>,</w:t>
      </w:r>
      <w:r w:rsidR="004413A8" w:rsidRPr="00E84232">
        <w:rPr>
          <w:sz w:val="16"/>
          <w:szCs w:val="16"/>
        </w:rPr>
        <w:t xml:space="preserve"> J</w:t>
      </w:r>
      <w:r w:rsidR="00985407" w:rsidRPr="00E84232">
        <w:rPr>
          <w:sz w:val="16"/>
          <w:szCs w:val="16"/>
        </w:rPr>
        <w:t>. &amp;</w:t>
      </w:r>
      <w:r w:rsidR="004413A8" w:rsidRPr="00E84232">
        <w:rPr>
          <w:sz w:val="16"/>
          <w:szCs w:val="16"/>
        </w:rPr>
        <w:t xml:space="preserve"> Spicer</w:t>
      </w:r>
      <w:r w:rsidR="00985407" w:rsidRPr="00E84232">
        <w:rPr>
          <w:sz w:val="16"/>
          <w:szCs w:val="16"/>
        </w:rPr>
        <w:t>,</w:t>
      </w:r>
      <w:r w:rsidR="004413A8" w:rsidRPr="00E84232">
        <w:rPr>
          <w:sz w:val="16"/>
          <w:szCs w:val="16"/>
        </w:rPr>
        <w:t xml:space="preserve"> P</w:t>
      </w:r>
      <w:r w:rsidR="00985407" w:rsidRPr="00E84232">
        <w:rPr>
          <w:sz w:val="16"/>
          <w:szCs w:val="16"/>
        </w:rPr>
        <w:t>.</w:t>
      </w:r>
      <w:r w:rsidR="004413A8" w:rsidRPr="00E84232">
        <w:rPr>
          <w:sz w:val="16"/>
          <w:szCs w:val="16"/>
        </w:rPr>
        <w:t>T</w:t>
      </w:r>
      <w:r w:rsidR="00985407" w:rsidRPr="00E84232">
        <w:rPr>
          <w:sz w:val="16"/>
          <w:szCs w:val="16"/>
        </w:rPr>
        <w:t>.</w:t>
      </w:r>
      <w:r w:rsidRPr="00E84232">
        <w:rPr>
          <w:sz w:val="16"/>
          <w:szCs w:val="16"/>
        </w:rPr>
        <w:t xml:space="preserve"> (2017). Novel nano-cellulose excipient for generating non-Newtonian droplets for targeted nasal drug delivery. Drug development and industrial pharmacy, 43(10), pp.1729-1733.</w:t>
      </w:r>
    </w:p>
    <w:p w14:paraId="0353C650" w14:textId="41D309D0" w:rsidR="00501600" w:rsidRPr="00E84232" w:rsidRDefault="00501600" w:rsidP="00501600">
      <w:pPr>
        <w:pStyle w:val="EndNoteBibliography"/>
        <w:numPr>
          <w:ilvl w:val="0"/>
          <w:numId w:val="9"/>
        </w:numPr>
        <w:spacing w:after="0"/>
        <w:ind w:left="426" w:hanging="426"/>
        <w:rPr>
          <w:sz w:val="16"/>
          <w:szCs w:val="16"/>
        </w:rPr>
      </w:pPr>
      <w:r w:rsidRPr="00E84232">
        <w:rPr>
          <w:sz w:val="16"/>
          <w:szCs w:val="16"/>
        </w:rPr>
        <w:t xml:space="preserve">Dehghani F, Weiss AS, Wei H, </w:t>
      </w:r>
      <w:r w:rsidR="00617B94" w:rsidRPr="00E84232">
        <w:rPr>
          <w:sz w:val="16"/>
          <w:szCs w:val="16"/>
        </w:rPr>
        <w:t>Mithie</w:t>
      </w:r>
      <w:r w:rsidR="000E628E" w:rsidRPr="00E84232">
        <w:rPr>
          <w:sz w:val="16"/>
          <w:szCs w:val="16"/>
        </w:rPr>
        <w:t>ux, S.M. &amp; Fathi, A</w:t>
      </w:r>
      <w:r w:rsidRPr="00E84232">
        <w:rPr>
          <w:sz w:val="16"/>
          <w:szCs w:val="16"/>
        </w:rPr>
        <w:t>. Peptide-hydrogel composite. US Patents No. 9,546,235; 2017.</w:t>
      </w:r>
    </w:p>
    <w:p w14:paraId="11F1C65E" w14:textId="582C489A" w:rsidR="00501600" w:rsidRPr="00E84232" w:rsidRDefault="00501600" w:rsidP="00501600">
      <w:pPr>
        <w:pStyle w:val="EndNoteBibliography"/>
        <w:numPr>
          <w:ilvl w:val="0"/>
          <w:numId w:val="9"/>
        </w:numPr>
        <w:spacing w:after="0"/>
        <w:ind w:left="426" w:hanging="426"/>
        <w:rPr>
          <w:sz w:val="16"/>
          <w:szCs w:val="16"/>
        </w:rPr>
      </w:pPr>
      <w:r w:rsidRPr="00E84232">
        <w:rPr>
          <w:sz w:val="16"/>
          <w:szCs w:val="16"/>
        </w:rPr>
        <w:t xml:space="preserve">Fathi A, Mithieux SM, Wei H, </w:t>
      </w:r>
      <w:r w:rsidR="00F51F16" w:rsidRPr="00E84232">
        <w:rPr>
          <w:sz w:val="16"/>
          <w:szCs w:val="16"/>
        </w:rPr>
        <w:t>Chrzanowski, W., Valtchev, P., Weiss, A.S. &amp; Dehghani, F. </w:t>
      </w:r>
      <w:r w:rsidRPr="00E84232">
        <w:rPr>
          <w:sz w:val="16"/>
          <w:szCs w:val="16"/>
        </w:rPr>
        <w:t>. Elastin based cell-laden injectable hydrogels with tunable gelation, mechanical and biodegradation properties. Biomaterials. 2014;35(21):5425-5435.</w:t>
      </w:r>
    </w:p>
    <w:sectPr w:rsidR="00501600" w:rsidRPr="00E84232" w:rsidSect="00881F0C">
      <w:headerReference w:type="even" r:id="rId19"/>
      <w:headerReference w:type="default" r:id="rId20"/>
      <w:footerReference w:type="even" r:id="rId21"/>
      <w:footerReference w:type="default" r:id="rId22"/>
      <w:endnotePr>
        <w:numFmt w:val="decimal"/>
      </w:endnotePr>
      <w:pgSz w:w="11907" w:h="16839" w:code="9"/>
      <w:pgMar w:top="1304" w:right="1304" w:bottom="993" w:left="1531"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BABA4" w14:textId="77777777" w:rsidR="00591D07" w:rsidRDefault="00591D07" w:rsidP="00A515A9">
      <w:pPr>
        <w:spacing w:after="0"/>
      </w:pPr>
      <w:r>
        <w:separator/>
      </w:r>
    </w:p>
  </w:endnote>
  <w:endnote w:type="continuationSeparator" w:id="0">
    <w:p w14:paraId="77C0B370" w14:textId="77777777" w:rsidR="00591D07" w:rsidRDefault="00591D07"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4" w:name="_Hlk162423855"/>
    <w:bookmarkStart w:id="5" w:name="_Hlk162423856"/>
    <w:bookmarkStart w:id="6" w:name="_Hlk162423857"/>
    <w:bookmarkStart w:id="7" w:name="_Hlk162423858"/>
    <w:bookmarkStart w:id="8" w:name="_Hlk162423859"/>
    <w:bookmarkStart w:id="9"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A584F" w14:textId="77777777" w:rsidR="00591D07" w:rsidRDefault="00591D07" w:rsidP="00A515A9">
      <w:pPr>
        <w:spacing w:after="0"/>
      </w:pPr>
      <w:r>
        <w:separator/>
      </w:r>
    </w:p>
  </w:footnote>
  <w:footnote w:type="continuationSeparator" w:id="0">
    <w:p w14:paraId="5D1E2450" w14:textId="77777777" w:rsidR="00591D07" w:rsidRDefault="00591D07"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30789E56"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663784790"/>
        <w:lock w:val="sdtLocked"/>
        <w:placeholder>
          <w:docPart w:val="FFEF99F03EF94B5FA9FBE4AC229B84CD"/>
        </w:placeholder>
      </w:sdtPr>
      <w:sdtEndPr>
        <w:rPr>
          <w:i w:val="0"/>
        </w:rPr>
      </w:sdtEndPr>
      <w:sdtContent>
        <w:r w:rsidR="00E51B00" w:rsidRPr="00E51B00">
          <w:rPr>
            <w:rStyle w:val="PlaceholderText"/>
            <w:i/>
            <w:color w:val="auto"/>
          </w:rPr>
          <w:t>Enhancing the intranasal delivery</w:t>
        </w:r>
        <w:r w:rsidR="00E51B00" w:rsidRPr="00E51B00">
          <w:rPr>
            <w:rStyle w:val="PlaceholderText"/>
            <w:i/>
          </w:rPr>
          <w:t xml:space="preserve"> </w:t>
        </w:r>
        <w:r w:rsidR="00E51B00" w:rsidRPr="00E51B00">
          <w:rPr>
            <w:i/>
          </w:rPr>
          <w:t xml:space="preserve">of mRNA therapeutics using a novel thermosensitive polymer. </w:t>
        </w:r>
        <w:r w:rsidR="00E51B00">
          <w:t xml:space="preserve">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0CE5AD0D" w:rsidR="00964A86" w:rsidRPr="00E51B00" w:rsidRDefault="00200494" w:rsidP="00964A86">
    <w:pPr>
      <w:pStyle w:val="Header"/>
      <w:pBdr>
        <w:bottom w:val="single" w:sz="6" w:space="1" w:color="auto"/>
      </w:pBdr>
      <w:rPr>
        <w:i/>
        <w:lang w:val="it-IT"/>
      </w:rPr>
    </w:pPr>
    <w:r w:rsidRPr="00E51B00">
      <w:rPr>
        <w:i/>
        <w:lang w:val="it-IT"/>
      </w:rPr>
      <w:t>DDL</w:t>
    </w:r>
    <w:r w:rsidR="00964A86" w:rsidRPr="00E51B00">
      <w:rPr>
        <w:i/>
        <w:lang w:val="it-IT"/>
      </w:rPr>
      <w:t>20</w:t>
    </w:r>
    <w:r w:rsidR="00F27E20" w:rsidRPr="00E51B00">
      <w:rPr>
        <w:i/>
        <w:lang w:val="it-IT"/>
      </w:rPr>
      <w:t>2</w:t>
    </w:r>
    <w:r w:rsidR="006640E2" w:rsidRPr="00E51B00">
      <w:rPr>
        <w:i/>
        <w:lang w:val="it-IT"/>
      </w:rPr>
      <w:t>4</w:t>
    </w:r>
    <w:r w:rsidR="00964A86" w:rsidRPr="00E51B00">
      <w:rPr>
        <w:i/>
        <w:lang w:val="it-IT"/>
      </w:rPr>
      <w:t xml:space="preserve"> </w:t>
    </w:r>
    <w:r w:rsidR="009A6549" w:rsidRPr="00E51B00">
      <w:rPr>
        <w:i/>
        <w:lang w:val="it-IT"/>
      </w:rPr>
      <w:t>–</w:t>
    </w:r>
    <w:r w:rsidR="00964A86" w:rsidRPr="00E51B00">
      <w:rPr>
        <w:i/>
        <w:lang w:val="it-IT"/>
      </w:rPr>
      <w:t>-</w:t>
    </w:r>
    <w:r w:rsidR="000437D5" w:rsidRPr="00E51B00">
      <w:rPr>
        <w:i/>
        <w:lang w:val="it-IT"/>
      </w:rPr>
      <w:t xml:space="preserve"> </w:t>
    </w:r>
    <w:r w:rsidR="00990C1E" w:rsidRPr="00E51B00">
      <w:rPr>
        <w:i/>
      </w:rPr>
      <w:fldChar w:fldCharType="begin"/>
    </w:r>
    <w:r w:rsidR="00990C1E" w:rsidRPr="00E51B00">
      <w:rPr>
        <w:i/>
        <w:lang w:val="it-IT"/>
      </w:rPr>
      <w:instrText xml:space="preserve"> REF Author \h  \* MERGEFORMAT </w:instrText>
    </w:r>
    <w:r w:rsidR="00990C1E" w:rsidRPr="00E51B00">
      <w:rPr>
        <w:i/>
      </w:rPr>
    </w:r>
    <w:r w:rsidR="00990C1E" w:rsidRPr="00E51B00">
      <w:rPr>
        <w:i/>
      </w:rPr>
      <w:fldChar w:fldCharType="separate"/>
    </w:r>
    <w:sdt>
      <w:sdtPr>
        <w:rPr>
          <w:i/>
        </w:rPr>
        <w:alias w:val="Main Author"/>
        <w:tag w:val="Main Author"/>
        <w:id w:val="-2083821614"/>
        <w:lock w:val="sdtLocked"/>
        <w:placeholder>
          <w:docPart w:val="C4F3A1DB1A304B9A8B37B24410305078"/>
        </w:placeholder>
      </w:sdtPr>
      <w:sdtEndPr>
        <w:rPr>
          <w:u w:val="single"/>
        </w:rPr>
      </w:sdtEndPr>
      <w:sdtContent>
        <w:r w:rsidR="00595B04" w:rsidRPr="00E51B00">
          <w:rPr>
            <w:rStyle w:val="PlaceholderText"/>
            <w:i/>
            <w:color w:val="auto"/>
            <w:lang w:val="it-IT"/>
          </w:rPr>
          <w:t>Juhura G</w:t>
        </w:r>
        <w:r w:rsidR="00595B04" w:rsidRPr="00E51B00">
          <w:rPr>
            <w:rStyle w:val="PlaceholderText"/>
            <w:i/>
            <w:lang w:val="it-IT"/>
          </w:rPr>
          <w:t>.</w:t>
        </w:r>
        <w:r w:rsidR="00595B04" w:rsidRPr="00E51B00">
          <w:rPr>
            <w:i/>
            <w:lang w:val="it-IT"/>
          </w:rPr>
          <w:t xml:space="preserve"> Almazi</w:t>
        </w:r>
      </w:sdtContent>
    </w:sdt>
    <w:r w:rsidR="00990C1E" w:rsidRPr="00E51B00">
      <w:rPr>
        <w:i/>
      </w:rPr>
      <w:fldChar w:fldCharType="end"/>
    </w:r>
    <w:r w:rsidR="00964A86" w:rsidRPr="00E51B00">
      <w:rPr>
        <w:i/>
        <w:lang w:val="it-IT"/>
      </w:rPr>
      <w:t xml:space="preserve"> et al.</w:t>
    </w:r>
    <w:r w:rsidR="005B1360" w:rsidRPr="00E51B00">
      <w:rPr>
        <w:i/>
        <w:lang w:val="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0A2C5B68"/>
    <w:multiLevelType w:val="hybridMultilevel"/>
    <w:tmpl w:val="CC9AD2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D40991"/>
    <w:multiLevelType w:val="hybridMultilevel"/>
    <w:tmpl w:val="6FCC4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FF4E3C"/>
    <w:multiLevelType w:val="hybridMultilevel"/>
    <w:tmpl w:val="3318779E"/>
    <w:lvl w:ilvl="0" w:tplc="EE5A9F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F8275D"/>
    <w:multiLevelType w:val="hybridMultilevel"/>
    <w:tmpl w:val="BE36B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8"/>
  </w:num>
  <w:num w:numId="2" w16cid:durableId="1173883495">
    <w:abstractNumId w:val="0"/>
  </w:num>
  <w:num w:numId="3" w16cid:durableId="1473520453">
    <w:abstractNumId w:val="5"/>
  </w:num>
  <w:num w:numId="4" w16cid:durableId="880900156">
    <w:abstractNumId w:val="7"/>
  </w:num>
  <w:num w:numId="5" w16cid:durableId="1941520065">
    <w:abstractNumId w:val="4"/>
  </w:num>
  <w:num w:numId="6" w16cid:durableId="2027707571">
    <w:abstractNumId w:val="6"/>
  </w:num>
  <w:num w:numId="7" w16cid:durableId="547763570">
    <w:abstractNumId w:val="2"/>
  </w:num>
  <w:num w:numId="8" w16cid:durableId="289701395">
    <w:abstractNumId w:val="3"/>
  </w:num>
  <w:num w:numId="9" w16cid:durableId="1902590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07F9"/>
    <w:rsid w:val="00011B62"/>
    <w:rsid w:val="0001616D"/>
    <w:rsid w:val="00016641"/>
    <w:rsid w:val="00032260"/>
    <w:rsid w:val="00041EFE"/>
    <w:rsid w:val="00042D62"/>
    <w:rsid w:val="000437D5"/>
    <w:rsid w:val="00047C6C"/>
    <w:rsid w:val="00054372"/>
    <w:rsid w:val="000546B1"/>
    <w:rsid w:val="00062F83"/>
    <w:rsid w:val="0006467A"/>
    <w:rsid w:val="00066D22"/>
    <w:rsid w:val="00070DC9"/>
    <w:rsid w:val="00072FC7"/>
    <w:rsid w:val="00075A1B"/>
    <w:rsid w:val="00077A09"/>
    <w:rsid w:val="000815E6"/>
    <w:rsid w:val="000914E8"/>
    <w:rsid w:val="00093AA0"/>
    <w:rsid w:val="000A2590"/>
    <w:rsid w:val="000A5A12"/>
    <w:rsid w:val="000B3AAE"/>
    <w:rsid w:val="000B3B90"/>
    <w:rsid w:val="000C06AB"/>
    <w:rsid w:val="000C5047"/>
    <w:rsid w:val="000C5A4B"/>
    <w:rsid w:val="000D22F9"/>
    <w:rsid w:val="000E628E"/>
    <w:rsid w:val="000E770E"/>
    <w:rsid w:val="000E77D5"/>
    <w:rsid w:val="000F0282"/>
    <w:rsid w:val="000F47CC"/>
    <w:rsid w:val="0010524B"/>
    <w:rsid w:val="00115E78"/>
    <w:rsid w:val="0012224E"/>
    <w:rsid w:val="0012588A"/>
    <w:rsid w:val="00134FB6"/>
    <w:rsid w:val="001365F9"/>
    <w:rsid w:val="00143F20"/>
    <w:rsid w:val="00144366"/>
    <w:rsid w:val="00146E16"/>
    <w:rsid w:val="001516A0"/>
    <w:rsid w:val="00160344"/>
    <w:rsid w:val="001604DB"/>
    <w:rsid w:val="00161859"/>
    <w:rsid w:val="00181A7B"/>
    <w:rsid w:val="001929F9"/>
    <w:rsid w:val="001942DB"/>
    <w:rsid w:val="00194699"/>
    <w:rsid w:val="001A1028"/>
    <w:rsid w:val="001A328A"/>
    <w:rsid w:val="001B0E1B"/>
    <w:rsid w:val="001C1A34"/>
    <w:rsid w:val="001C2DAC"/>
    <w:rsid w:val="001D79DA"/>
    <w:rsid w:val="001E614C"/>
    <w:rsid w:val="001F3482"/>
    <w:rsid w:val="001F70F6"/>
    <w:rsid w:val="001F79B3"/>
    <w:rsid w:val="00200494"/>
    <w:rsid w:val="00217845"/>
    <w:rsid w:val="00220784"/>
    <w:rsid w:val="00220AF5"/>
    <w:rsid w:val="002266BA"/>
    <w:rsid w:val="00231C18"/>
    <w:rsid w:val="00260681"/>
    <w:rsid w:val="002666D8"/>
    <w:rsid w:val="00272C25"/>
    <w:rsid w:val="002764E7"/>
    <w:rsid w:val="00283F05"/>
    <w:rsid w:val="00287EA3"/>
    <w:rsid w:val="0029067A"/>
    <w:rsid w:val="00290ADD"/>
    <w:rsid w:val="002A3E34"/>
    <w:rsid w:val="002A4211"/>
    <w:rsid w:val="002B15F3"/>
    <w:rsid w:val="002B1B20"/>
    <w:rsid w:val="002B38CF"/>
    <w:rsid w:val="002B5BF9"/>
    <w:rsid w:val="002B74ED"/>
    <w:rsid w:val="002D7A70"/>
    <w:rsid w:val="002E68BE"/>
    <w:rsid w:val="002E77AE"/>
    <w:rsid w:val="002E7F7A"/>
    <w:rsid w:val="002F2F22"/>
    <w:rsid w:val="002F38E3"/>
    <w:rsid w:val="002F45B4"/>
    <w:rsid w:val="002F483F"/>
    <w:rsid w:val="00311E4A"/>
    <w:rsid w:val="0031528C"/>
    <w:rsid w:val="00320806"/>
    <w:rsid w:val="003236A8"/>
    <w:rsid w:val="00323FE7"/>
    <w:rsid w:val="003274A8"/>
    <w:rsid w:val="0033185B"/>
    <w:rsid w:val="0033400E"/>
    <w:rsid w:val="00335E20"/>
    <w:rsid w:val="0034725F"/>
    <w:rsid w:val="003525CC"/>
    <w:rsid w:val="00364EB3"/>
    <w:rsid w:val="00365A72"/>
    <w:rsid w:val="00370D0F"/>
    <w:rsid w:val="00375EC4"/>
    <w:rsid w:val="00387ECA"/>
    <w:rsid w:val="0039248E"/>
    <w:rsid w:val="00392600"/>
    <w:rsid w:val="003969C8"/>
    <w:rsid w:val="003B1031"/>
    <w:rsid w:val="003B383B"/>
    <w:rsid w:val="003B65D1"/>
    <w:rsid w:val="003C0B43"/>
    <w:rsid w:val="003C191B"/>
    <w:rsid w:val="003C568E"/>
    <w:rsid w:val="003C58EE"/>
    <w:rsid w:val="003C6A3B"/>
    <w:rsid w:val="003D10FC"/>
    <w:rsid w:val="003D3DDE"/>
    <w:rsid w:val="003D7C47"/>
    <w:rsid w:val="003E5D10"/>
    <w:rsid w:val="003E64E4"/>
    <w:rsid w:val="003E6EFA"/>
    <w:rsid w:val="003F37A9"/>
    <w:rsid w:val="003F37F5"/>
    <w:rsid w:val="00401543"/>
    <w:rsid w:val="00404307"/>
    <w:rsid w:val="00404A4E"/>
    <w:rsid w:val="00404AC0"/>
    <w:rsid w:val="0040614F"/>
    <w:rsid w:val="0041018A"/>
    <w:rsid w:val="0041094C"/>
    <w:rsid w:val="00412679"/>
    <w:rsid w:val="00415CE5"/>
    <w:rsid w:val="0042029D"/>
    <w:rsid w:val="00424C98"/>
    <w:rsid w:val="00427F09"/>
    <w:rsid w:val="004413A8"/>
    <w:rsid w:val="00442036"/>
    <w:rsid w:val="00444A63"/>
    <w:rsid w:val="00447141"/>
    <w:rsid w:val="00447700"/>
    <w:rsid w:val="004506DE"/>
    <w:rsid w:val="0045475A"/>
    <w:rsid w:val="00456A6C"/>
    <w:rsid w:val="0045737A"/>
    <w:rsid w:val="004625B8"/>
    <w:rsid w:val="00465A02"/>
    <w:rsid w:val="00473F01"/>
    <w:rsid w:val="00490C5A"/>
    <w:rsid w:val="00496006"/>
    <w:rsid w:val="004A2752"/>
    <w:rsid w:val="004A684A"/>
    <w:rsid w:val="004A6D2E"/>
    <w:rsid w:val="004B2051"/>
    <w:rsid w:val="004B6D88"/>
    <w:rsid w:val="004C1847"/>
    <w:rsid w:val="004D04C9"/>
    <w:rsid w:val="004D3967"/>
    <w:rsid w:val="004D7ABF"/>
    <w:rsid w:val="004F7E1D"/>
    <w:rsid w:val="004F7F64"/>
    <w:rsid w:val="00501600"/>
    <w:rsid w:val="00505122"/>
    <w:rsid w:val="0050726A"/>
    <w:rsid w:val="00513DB5"/>
    <w:rsid w:val="00515C1C"/>
    <w:rsid w:val="0051688A"/>
    <w:rsid w:val="005302DC"/>
    <w:rsid w:val="005303CA"/>
    <w:rsid w:val="00531816"/>
    <w:rsid w:val="005357DB"/>
    <w:rsid w:val="00541F41"/>
    <w:rsid w:val="00542A45"/>
    <w:rsid w:val="00544864"/>
    <w:rsid w:val="00544FB7"/>
    <w:rsid w:val="005478C2"/>
    <w:rsid w:val="00565D5A"/>
    <w:rsid w:val="00572CB4"/>
    <w:rsid w:val="00582113"/>
    <w:rsid w:val="005905F0"/>
    <w:rsid w:val="00591D07"/>
    <w:rsid w:val="00591DC8"/>
    <w:rsid w:val="00593A46"/>
    <w:rsid w:val="00595B04"/>
    <w:rsid w:val="0059643B"/>
    <w:rsid w:val="00596663"/>
    <w:rsid w:val="00596FA6"/>
    <w:rsid w:val="005B1360"/>
    <w:rsid w:val="005B5FD9"/>
    <w:rsid w:val="005C0C02"/>
    <w:rsid w:val="005C145A"/>
    <w:rsid w:val="005C6CCA"/>
    <w:rsid w:val="005D1383"/>
    <w:rsid w:val="005D14C7"/>
    <w:rsid w:val="005D441D"/>
    <w:rsid w:val="005D5C36"/>
    <w:rsid w:val="005D7CA4"/>
    <w:rsid w:val="005E5278"/>
    <w:rsid w:val="005E654C"/>
    <w:rsid w:val="005E6A80"/>
    <w:rsid w:val="005F378E"/>
    <w:rsid w:val="005F4472"/>
    <w:rsid w:val="00603759"/>
    <w:rsid w:val="006047B7"/>
    <w:rsid w:val="006128C3"/>
    <w:rsid w:val="00613573"/>
    <w:rsid w:val="006148E4"/>
    <w:rsid w:val="00617B94"/>
    <w:rsid w:val="006220F6"/>
    <w:rsid w:val="006231F4"/>
    <w:rsid w:val="00623DF2"/>
    <w:rsid w:val="00627AB0"/>
    <w:rsid w:val="00631B86"/>
    <w:rsid w:val="00637050"/>
    <w:rsid w:val="00642787"/>
    <w:rsid w:val="00642A5F"/>
    <w:rsid w:val="00644444"/>
    <w:rsid w:val="00647529"/>
    <w:rsid w:val="006503FD"/>
    <w:rsid w:val="00660395"/>
    <w:rsid w:val="006640E2"/>
    <w:rsid w:val="00671088"/>
    <w:rsid w:val="0067389B"/>
    <w:rsid w:val="00676DA7"/>
    <w:rsid w:val="00677708"/>
    <w:rsid w:val="00686D0B"/>
    <w:rsid w:val="00692785"/>
    <w:rsid w:val="00697AE7"/>
    <w:rsid w:val="006A12DD"/>
    <w:rsid w:val="006A7BB6"/>
    <w:rsid w:val="006A7D26"/>
    <w:rsid w:val="006B12B5"/>
    <w:rsid w:val="006B3D22"/>
    <w:rsid w:val="006C225D"/>
    <w:rsid w:val="006D2D55"/>
    <w:rsid w:val="006E1C6F"/>
    <w:rsid w:val="006F0288"/>
    <w:rsid w:val="006F259A"/>
    <w:rsid w:val="0070763C"/>
    <w:rsid w:val="007077BC"/>
    <w:rsid w:val="00710809"/>
    <w:rsid w:val="00711C1F"/>
    <w:rsid w:val="00715F4B"/>
    <w:rsid w:val="007354F4"/>
    <w:rsid w:val="007474C7"/>
    <w:rsid w:val="00754561"/>
    <w:rsid w:val="0075537D"/>
    <w:rsid w:val="007557F3"/>
    <w:rsid w:val="0075629D"/>
    <w:rsid w:val="007613A9"/>
    <w:rsid w:val="00765B82"/>
    <w:rsid w:val="007702F7"/>
    <w:rsid w:val="007735FD"/>
    <w:rsid w:val="00774E51"/>
    <w:rsid w:val="0077503A"/>
    <w:rsid w:val="00781E78"/>
    <w:rsid w:val="0078212D"/>
    <w:rsid w:val="00784010"/>
    <w:rsid w:val="00787F68"/>
    <w:rsid w:val="00795461"/>
    <w:rsid w:val="007B2BEC"/>
    <w:rsid w:val="007B38B6"/>
    <w:rsid w:val="007C0CBC"/>
    <w:rsid w:val="007D307A"/>
    <w:rsid w:val="007D42A1"/>
    <w:rsid w:val="007E2F09"/>
    <w:rsid w:val="007E4351"/>
    <w:rsid w:val="007E53F2"/>
    <w:rsid w:val="007F4697"/>
    <w:rsid w:val="00802D22"/>
    <w:rsid w:val="00804EEB"/>
    <w:rsid w:val="008050EA"/>
    <w:rsid w:val="00821655"/>
    <w:rsid w:val="008340D3"/>
    <w:rsid w:val="00834F4E"/>
    <w:rsid w:val="00836B77"/>
    <w:rsid w:val="00837ED2"/>
    <w:rsid w:val="0084151E"/>
    <w:rsid w:val="008443EE"/>
    <w:rsid w:val="0084598F"/>
    <w:rsid w:val="0084699F"/>
    <w:rsid w:val="00851936"/>
    <w:rsid w:val="00852676"/>
    <w:rsid w:val="008571EA"/>
    <w:rsid w:val="00860916"/>
    <w:rsid w:val="00862468"/>
    <w:rsid w:val="00870B52"/>
    <w:rsid w:val="00870C3C"/>
    <w:rsid w:val="00871046"/>
    <w:rsid w:val="00881895"/>
    <w:rsid w:val="00881F0C"/>
    <w:rsid w:val="008A0FCD"/>
    <w:rsid w:val="008A2856"/>
    <w:rsid w:val="008B02F1"/>
    <w:rsid w:val="008B4BF0"/>
    <w:rsid w:val="008C3742"/>
    <w:rsid w:val="008C5C57"/>
    <w:rsid w:val="008C7F2D"/>
    <w:rsid w:val="008D0F33"/>
    <w:rsid w:val="008D115B"/>
    <w:rsid w:val="008D4D8B"/>
    <w:rsid w:val="008D57BC"/>
    <w:rsid w:val="008D58BA"/>
    <w:rsid w:val="008D5956"/>
    <w:rsid w:val="008D7F19"/>
    <w:rsid w:val="008E4AAC"/>
    <w:rsid w:val="008F2A41"/>
    <w:rsid w:val="00903C85"/>
    <w:rsid w:val="00915986"/>
    <w:rsid w:val="0092160E"/>
    <w:rsid w:val="00924F99"/>
    <w:rsid w:val="00927543"/>
    <w:rsid w:val="00930DA1"/>
    <w:rsid w:val="009344B4"/>
    <w:rsid w:val="0093458B"/>
    <w:rsid w:val="00941946"/>
    <w:rsid w:val="009500D2"/>
    <w:rsid w:val="00951198"/>
    <w:rsid w:val="0095324F"/>
    <w:rsid w:val="00962C50"/>
    <w:rsid w:val="009640EC"/>
    <w:rsid w:val="00964A86"/>
    <w:rsid w:val="00966CD3"/>
    <w:rsid w:val="00972F38"/>
    <w:rsid w:val="00974E37"/>
    <w:rsid w:val="009818AC"/>
    <w:rsid w:val="00985407"/>
    <w:rsid w:val="00986185"/>
    <w:rsid w:val="009868AA"/>
    <w:rsid w:val="00990C1E"/>
    <w:rsid w:val="00996628"/>
    <w:rsid w:val="009A0009"/>
    <w:rsid w:val="009A1638"/>
    <w:rsid w:val="009A4453"/>
    <w:rsid w:val="009A4F80"/>
    <w:rsid w:val="009A52B9"/>
    <w:rsid w:val="009A5E01"/>
    <w:rsid w:val="009A6549"/>
    <w:rsid w:val="009B5633"/>
    <w:rsid w:val="009C6C08"/>
    <w:rsid w:val="009D12B9"/>
    <w:rsid w:val="009D1A31"/>
    <w:rsid w:val="009D1CB7"/>
    <w:rsid w:val="009D412D"/>
    <w:rsid w:val="009D5953"/>
    <w:rsid w:val="009D77B3"/>
    <w:rsid w:val="009E6854"/>
    <w:rsid w:val="009E7542"/>
    <w:rsid w:val="009F64F9"/>
    <w:rsid w:val="00A0358B"/>
    <w:rsid w:val="00A0430E"/>
    <w:rsid w:val="00A13504"/>
    <w:rsid w:val="00A14F14"/>
    <w:rsid w:val="00A339DE"/>
    <w:rsid w:val="00A34190"/>
    <w:rsid w:val="00A42164"/>
    <w:rsid w:val="00A46DAE"/>
    <w:rsid w:val="00A47D45"/>
    <w:rsid w:val="00A515A9"/>
    <w:rsid w:val="00A53BC1"/>
    <w:rsid w:val="00A635CE"/>
    <w:rsid w:val="00A67298"/>
    <w:rsid w:val="00A80952"/>
    <w:rsid w:val="00A8200F"/>
    <w:rsid w:val="00A92B61"/>
    <w:rsid w:val="00A94905"/>
    <w:rsid w:val="00AA0D88"/>
    <w:rsid w:val="00AA1175"/>
    <w:rsid w:val="00AA4FF7"/>
    <w:rsid w:val="00AA66CE"/>
    <w:rsid w:val="00AA74BE"/>
    <w:rsid w:val="00AB3FCD"/>
    <w:rsid w:val="00AB6799"/>
    <w:rsid w:val="00AB6CAD"/>
    <w:rsid w:val="00AC04A2"/>
    <w:rsid w:val="00AC4609"/>
    <w:rsid w:val="00AC7CC0"/>
    <w:rsid w:val="00AD115D"/>
    <w:rsid w:val="00AD3608"/>
    <w:rsid w:val="00AE4B2D"/>
    <w:rsid w:val="00AE62DA"/>
    <w:rsid w:val="00AF084D"/>
    <w:rsid w:val="00AF324E"/>
    <w:rsid w:val="00B05B4A"/>
    <w:rsid w:val="00B122AD"/>
    <w:rsid w:val="00B132A2"/>
    <w:rsid w:val="00B160DB"/>
    <w:rsid w:val="00B20AC0"/>
    <w:rsid w:val="00B25B95"/>
    <w:rsid w:val="00B26029"/>
    <w:rsid w:val="00B34B6E"/>
    <w:rsid w:val="00B412B3"/>
    <w:rsid w:val="00B42A7F"/>
    <w:rsid w:val="00B5120E"/>
    <w:rsid w:val="00B54843"/>
    <w:rsid w:val="00B55646"/>
    <w:rsid w:val="00B654DF"/>
    <w:rsid w:val="00B719D1"/>
    <w:rsid w:val="00B804AB"/>
    <w:rsid w:val="00B81385"/>
    <w:rsid w:val="00B906A5"/>
    <w:rsid w:val="00B94313"/>
    <w:rsid w:val="00BA178A"/>
    <w:rsid w:val="00BA2146"/>
    <w:rsid w:val="00BA60EA"/>
    <w:rsid w:val="00BB0B33"/>
    <w:rsid w:val="00BB2738"/>
    <w:rsid w:val="00BB33A4"/>
    <w:rsid w:val="00BB722C"/>
    <w:rsid w:val="00BC0021"/>
    <w:rsid w:val="00BC30C2"/>
    <w:rsid w:val="00BC3B49"/>
    <w:rsid w:val="00BD68AD"/>
    <w:rsid w:val="00BD70D3"/>
    <w:rsid w:val="00BD7DE3"/>
    <w:rsid w:val="00BE0DF0"/>
    <w:rsid w:val="00BE13D9"/>
    <w:rsid w:val="00BF52CE"/>
    <w:rsid w:val="00C0126A"/>
    <w:rsid w:val="00C0283C"/>
    <w:rsid w:val="00C03ECE"/>
    <w:rsid w:val="00C126B9"/>
    <w:rsid w:val="00C156D1"/>
    <w:rsid w:val="00C15AD0"/>
    <w:rsid w:val="00C15BBD"/>
    <w:rsid w:val="00C2780D"/>
    <w:rsid w:val="00C3605B"/>
    <w:rsid w:val="00C44F4F"/>
    <w:rsid w:val="00C45B99"/>
    <w:rsid w:val="00C53DC0"/>
    <w:rsid w:val="00C543B6"/>
    <w:rsid w:val="00C544FF"/>
    <w:rsid w:val="00C5513E"/>
    <w:rsid w:val="00C65A37"/>
    <w:rsid w:val="00C6681A"/>
    <w:rsid w:val="00C67A85"/>
    <w:rsid w:val="00C70568"/>
    <w:rsid w:val="00C74931"/>
    <w:rsid w:val="00C919C6"/>
    <w:rsid w:val="00C9290C"/>
    <w:rsid w:val="00C92DF3"/>
    <w:rsid w:val="00C974E1"/>
    <w:rsid w:val="00CA28BF"/>
    <w:rsid w:val="00CA4B8F"/>
    <w:rsid w:val="00CB0366"/>
    <w:rsid w:val="00CC1B69"/>
    <w:rsid w:val="00CC28CD"/>
    <w:rsid w:val="00CD07CB"/>
    <w:rsid w:val="00CD705A"/>
    <w:rsid w:val="00CE39C8"/>
    <w:rsid w:val="00CF24A7"/>
    <w:rsid w:val="00CF4DA0"/>
    <w:rsid w:val="00CF7D1B"/>
    <w:rsid w:val="00D04E12"/>
    <w:rsid w:val="00D075F7"/>
    <w:rsid w:val="00D1209B"/>
    <w:rsid w:val="00D122A2"/>
    <w:rsid w:val="00D156FE"/>
    <w:rsid w:val="00D15D2A"/>
    <w:rsid w:val="00D23C41"/>
    <w:rsid w:val="00D26210"/>
    <w:rsid w:val="00D263B1"/>
    <w:rsid w:val="00D30437"/>
    <w:rsid w:val="00D409B1"/>
    <w:rsid w:val="00D419A3"/>
    <w:rsid w:val="00D41A7C"/>
    <w:rsid w:val="00D47884"/>
    <w:rsid w:val="00D50AB6"/>
    <w:rsid w:val="00D515FF"/>
    <w:rsid w:val="00D54376"/>
    <w:rsid w:val="00D566D3"/>
    <w:rsid w:val="00D638B5"/>
    <w:rsid w:val="00D67A60"/>
    <w:rsid w:val="00D67F4E"/>
    <w:rsid w:val="00D72097"/>
    <w:rsid w:val="00D80E1B"/>
    <w:rsid w:val="00D85CE6"/>
    <w:rsid w:val="00D93537"/>
    <w:rsid w:val="00D94EB6"/>
    <w:rsid w:val="00D9655E"/>
    <w:rsid w:val="00D966AE"/>
    <w:rsid w:val="00DB349E"/>
    <w:rsid w:val="00DC456B"/>
    <w:rsid w:val="00DC6D2A"/>
    <w:rsid w:val="00DD4A2D"/>
    <w:rsid w:val="00DD5EB8"/>
    <w:rsid w:val="00DE0973"/>
    <w:rsid w:val="00DE27DE"/>
    <w:rsid w:val="00DE53F7"/>
    <w:rsid w:val="00DE6AE7"/>
    <w:rsid w:val="00DF1745"/>
    <w:rsid w:val="00DF1ED1"/>
    <w:rsid w:val="00DF392A"/>
    <w:rsid w:val="00DF6559"/>
    <w:rsid w:val="00E00624"/>
    <w:rsid w:val="00E00C0E"/>
    <w:rsid w:val="00E108CE"/>
    <w:rsid w:val="00E14DBF"/>
    <w:rsid w:val="00E203F9"/>
    <w:rsid w:val="00E25F72"/>
    <w:rsid w:val="00E31AE5"/>
    <w:rsid w:val="00E32A19"/>
    <w:rsid w:val="00E42945"/>
    <w:rsid w:val="00E44876"/>
    <w:rsid w:val="00E51903"/>
    <w:rsid w:val="00E51B00"/>
    <w:rsid w:val="00E54AE8"/>
    <w:rsid w:val="00E62590"/>
    <w:rsid w:val="00E836AA"/>
    <w:rsid w:val="00E84232"/>
    <w:rsid w:val="00E8511E"/>
    <w:rsid w:val="00E85457"/>
    <w:rsid w:val="00E91FB6"/>
    <w:rsid w:val="00E92FCA"/>
    <w:rsid w:val="00E9667D"/>
    <w:rsid w:val="00E97489"/>
    <w:rsid w:val="00EA134E"/>
    <w:rsid w:val="00EA530D"/>
    <w:rsid w:val="00EA6923"/>
    <w:rsid w:val="00EB07EC"/>
    <w:rsid w:val="00EC1C50"/>
    <w:rsid w:val="00EC2143"/>
    <w:rsid w:val="00EC2FAE"/>
    <w:rsid w:val="00ED226D"/>
    <w:rsid w:val="00ED747C"/>
    <w:rsid w:val="00EE1B0D"/>
    <w:rsid w:val="00EE4E2B"/>
    <w:rsid w:val="00EE62E3"/>
    <w:rsid w:val="00EE7503"/>
    <w:rsid w:val="00EE7DFF"/>
    <w:rsid w:val="00EF6414"/>
    <w:rsid w:val="00F028AC"/>
    <w:rsid w:val="00F064AD"/>
    <w:rsid w:val="00F07183"/>
    <w:rsid w:val="00F15D45"/>
    <w:rsid w:val="00F20F19"/>
    <w:rsid w:val="00F2495D"/>
    <w:rsid w:val="00F27E20"/>
    <w:rsid w:val="00F3080A"/>
    <w:rsid w:val="00F36A3F"/>
    <w:rsid w:val="00F435EA"/>
    <w:rsid w:val="00F5042B"/>
    <w:rsid w:val="00F51F16"/>
    <w:rsid w:val="00F71EAC"/>
    <w:rsid w:val="00F81C9C"/>
    <w:rsid w:val="00F849C6"/>
    <w:rsid w:val="00F87649"/>
    <w:rsid w:val="00FA0E20"/>
    <w:rsid w:val="00FA1C58"/>
    <w:rsid w:val="00FA2965"/>
    <w:rsid w:val="00FA6F23"/>
    <w:rsid w:val="00FB1187"/>
    <w:rsid w:val="00FC3262"/>
    <w:rsid w:val="00FC33BA"/>
    <w:rsid w:val="00FC358C"/>
    <w:rsid w:val="00FD125D"/>
    <w:rsid w:val="00FD6C0B"/>
    <w:rsid w:val="00FE2845"/>
    <w:rsid w:val="00FE2EE6"/>
    <w:rsid w:val="00FF0696"/>
    <w:rsid w:val="00FF3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paragraph" w:styleId="ListParagraph">
    <w:name w:val="List Paragraph"/>
    <w:aliases w:val="Recommendation,List Paragraph1,standard lewis,CDHP List Paragraph,dot point 1,List Paragraph11,List Paragraph111,L,F5 List Paragraph,Dot pt,CV text,Table text,Medium Grid 1 - Accent 21,Numbered Paragraph,List Paragraph2,No Spacing1"/>
    <w:basedOn w:val="Normal"/>
    <w:link w:val="ListParagraphChar"/>
    <w:qFormat/>
    <w:rsid w:val="002A4211"/>
    <w:pPr>
      <w:spacing w:after="0"/>
      <w:ind w:left="720"/>
      <w:contextualSpacing/>
      <w:jc w:val="left"/>
    </w:pPr>
    <w:rPr>
      <w:rFonts w:ascii="Times New Roman" w:hAnsi="Times New Roman"/>
      <w:sz w:val="24"/>
      <w:szCs w:val="24"/>
      <w:lang w:val="en-AU"/>
    </w:rPr>
  </w:style>
  <w:style w:type="character" w:customStyle="1" w:styleId="ListParagraphChar">
    <w:name w:val="List Paragraph Char"/>
    <w:aliases w:val="Recommendation Char,List Paragraph1 Char,standard lewis Char,CDHP List Paragraph Char,dot point 1 Char,List Paragraph11 Char,List Paragraph111 Char,L Char,F5 List Paragraph Char,Dot pt Char,CV text Char,Table text Char"/>
    <w:basedOn w:val="DefaultParagraphFont"/>
    <w:link w:val="ListParagraph"/>
    <w:rsid w:val="002A4211"/>
    <w:rPr>
      <w:sz w:val="24"/>
      <w:szCs w:val="24"/>
      <w:lang w:val="en-AU"/>
    </w:rPr>
  </w:style>
  <w:style w:type="paragraph" w:customStyle="1" w:styleId="EndNoteBibliography">
    <w:name w:val="EndNote Bibliography"/>
    <w:basedOn w:val="Normal"/>
    <w:link w:val="EndNoteBibliographyChar"/>
    <w:rsid w:val="00501600"/>
    <w:rPr>
      <w:rFonts w:cs="Arial"/>
      <w:noProof/>
    </w:rPr>
  </w:style>
  <w:style w:type="character" w:customStyle="1" w:styleId="EndNoteBibliographyChar">
    <w:name w:val="EndNote Bibliography Char"/>
    <w:basedOn w:val="DefaultParagraphFont"/>
    <w:link w:val="EndNoteBibliography"/>
    <w:rsid w:val="00501600"/>
    <w:rPr>
      <w:rFonts w:ascii="Arial" w:hAnsi="Arial" w:cs="Arial"/>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84922694">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303078147">
      <w:bodyDiv w:val="1"/>
      <w:marLeft w:val="0"/>
      <w:marRight w:val="0"/>
      <w:marTop w:val="0"/>
      <w:marBottom w:val="0"/>
      <w:divBdr>
        <w:top w:val="none" w:sz="0" w:space="0" w:color="auto"/>
        <w:left w:val="none" w:sz="0" w:space="0" w:color="auto"/>
        <w:bottom w:val="none" w:sz="0" w:space="0" w:color="auto"/>
        <w:right w:val="none" w:sz="0" w:space="0" w:color="auto"/>
      </w:divBdr>
    </w:div>
    <w:div w:id="1746414224">
      <w:bodyDiv w:val="1"/>
      <w:marLeft w:val="0"/>
      <w:marRight w:val="0"/>
      <w:marTop w:val="0"/>
      <w:marBottom w:val="0"/>
      <w:divBdr>
        <w:top w:val="none" w:sz="0" w:space="0" w:color="auto"/>
        <w:left w:val="none" w:sz="0" w:space="0" w:color="auto"/>
        <w:bottom w:val="none" w:sz="0" w:space="0" w:color="auto"/>
        <w:right w:val="none" w:sz="0" w:space="0" w:color="auto"/>
      </w:divBdr>
    </w:div>
    <w:div w:id="1778407589">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C4F3A1DB1A304B9A8B37B24410305078"/>
        <w:category>
          <w:name w:val="General"/>
          <w:gallery w:val="placeholder"/>
        </w:category>
        <w:types>
          <w:type w:val="bbPlcHdr"/>
        </w:types>
        <w:behaviors>
          <w:behavior w:val="content"/>
        </w:behaviors>
        <w:guid w:val="{0580A05D-AD66-4F3C-8B9C-8444EA2DDF48}"/>
      </w:docPartPr>
      <w:docPartBody>
        <w:p w:rsidR="00D36B5D" w:rsidRDefault="00DE455A" w:rsidP="00DE455A">
          <w:pPr>
            <w:pStyle w:val="C4F3A1DB1A304B9A8B37B24410305078"/>
          </w:pPr>
          <w:r w:rsidRPr="00160344">
            <w:rPr>
              <w:rStyle w:val="PlaceholderText"/>
              <w:color w:val="auto"/>
              <w:u w:val="single"/>
            </w:rPr>
            <w:t>Main Author</w:t>
          </w:r>
        </w:p>
      </w:docPartBody>
    </w:docPart>
    <w:docPart>
      <w:docPartPr>
        <w:name w:val="FFEF99F03EF94B5FA9FBE4AC229B84CD"/>
        <w:category>
          <w:name w:val="General"/>
          <w:gallery w:val="placeholder"/>
        </w:category>
        <w:types>
          <w:type w:val="bbPlcHdr"/>
        </w:types>
        <w:behaviors>
          <w:behavior w:val="content"/>
        </w:behaviors>
        <w:guid w:val="{E4D358AD-F36B-4E58-8D98-B482D4AC219B}"/>
      </w:docPartPr>
      <w:docPartBody>
        <w:p w:rsidR="00A8275B" w:rsidRDefault="00A8275B" w:rsidP="00A8275B">
          <w:pPr>
            <w:pStyle w:val="FFEF99F03EF94B5FA9FBE4AC229B84CD"/>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47C6C"/>
    <w:rsid w:val="00074500"/>
    <w:rsid w:val="00106CEB"/>
    <w:rsid w:val="00134A2D"/>
    <w:rsid w:val="001703F7"/>
    <w:rsid w:val="00194847"/>
    <w:rsid w:val="001A328A"/>
    <w:rsid w:val="001D4D96"/>
    <w:rsid w:val="003009AF"/>
    <w:rsid w:val="004470DA"/>
    <w:rsid w:val="004A5D97"/>
    <w:rsid w:val="004D7A4B"/>
    <w:rsid w:val="005025F8"/>
    <w:rsid w:val="00513DB5"/>
    <w:rsid w:val="005E654C"/>
    <w:rsid w:val="00623571"/>
    <w:rsid w:val="00636654"/>
    <w:rsid w:val="008136A9"/>
    <w:rsid w:val="0084527F"/>
    <w:rsid w:val="0084699F"/>
    <w:rsid w:val="00890F9E"/>
    <w:rsid w:val="00943A37"/>
    <w:rsid w:val="009776F2"/>
    <w:rsid w:val="009F0831"/>
    <w:rsid w:val="00A4185B"/>
    <w:rsid w:val="00A8275B"/>
    <w:rsid w:val="00AC7CC0"/>
    <w:rsid w:val="00AD0A82"/>
    <w:rsid w:val="00AF324E"/>
    <w:rsid w:val="00B01474"/>
    <w:rsid w:val="00BB6D73"/>
    <w:rsid w:val="00BF4830"/>
    <w:rsid w:val="00CF1D98"/>
    <w:rsid w:val="00D04E12"/>
    <w:rsid w:val="00D36B5D"/>
    <w:rsid w:val="00D77364"/>
    <w:rsid w:val="00DA0B5C"/>
    <w:rsid w:val="00DB04D1"/>
    <w:rsid w:val="00DE455A"/>
    <w:rsid w:val="00E60656"/>
    <w:rsid w:val="00F34885"/>
    <w:rsid w:val="00FB16D6"/>
    <w:rsid w:val="00FD5C55"/>
    <w:rsid w:val="00FE7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275B"/>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B046F90048CB4F0380F99889E7477724">
    <w:name w:val="B046F90048CB4F0380F99889E7477724"/>
    <w:rsid w:val="00623571"/>
  </w:style>
  <w:style w:type="paragraph" w:customStyle="1" w:styleId="C4F3A1DB1A304B9A8B37B24410305078">
    <w:name w:val="C4F3A1DB1A304B9A8B37B24410305078"/>
    <w:rsid w:val="00DE455A"/>
    <w:pPr>
      <w:spacing w:line="278" w:lineRule="auto"/>
    </w:pPr>
    <w:rPr>
      <w:kern w:val="2"/>
      <w:sz w:val="24"/>
      <w:szCs w:val="24"/>
      <w:lang w:val="en-US" w:eastAsia="en-US"/>
      <w14:ligatures w14:val="standardContextual"/>
    </w:rPr>
  </w:style>
  <w:style w:type="paragraph" w:customStyle="1" w:styleId="236DABC0315D4D48B31EFA4DBE195B66">
    <w:name w:val="236DABC0315D4D48B31EFA4DBE195B66"/>
    <w:rsid w:val="00A8275B"/>
    <w:pPr>
      <w:spacing w:line="278" w:lineRule="auto"/>
    </w:pPr>
    <w:rPr>
      <w:kern w:val="2"/>
      <w:sz w:val="24"/>
      <w:szCs w:val="24"/>
      <w14:ligatures w14:val="standardContextual"/>
    </w:rPr>
  </w:style>
  <w:style w:type="paragraph" w:customStyle="1" w:styleId="6E51E34B639E454EBFF9244996D64098">
    <w:name w:val="6E51E34B639E454EBFF9244996D64098"/>
    <w:rsid w:val="00A8275B"/>
    <w:pPr>
      <w:spacing w:line="278" w:lineRule="auto"/>
    </w:pPr>
    <w:rPr>
      <w:kern w:val="2"/>
      <w:sz w:val="24"/>
      <w:szCs w:val="24"/>
      <w14:ligatures w14:val="standardContextual"/>
    </w:rPr>
  </w:style>
  <w:style w:type="paragraph" w:customStyle="1" w:styleId="8B89412A055D47C8AABF54524C03DE1A">
    <w:name w:val="8B89412A055D47C8AABF54524C03DE1A"/>
    <w:rsid w:val="00A8275B"/>
    <w:pPr>
      <w:spacing w:line="278" w:lineRule="auto"/>
    </w:pPr>
    <w:rPr>
      <w:kern w:val="2"/>
      <w:sz w:val="24"/>
      <w:szCs w:val="24"/>
      <w14:ligatures w14:val="standardContextual"/>
    </w:rPr>
  </w:style>
  <w:style w:type="paragraph" w:customStyle="1" w:styleId="FFEF99F03EF94B5FA9FBE4AC229B84CD">
    <w:name w:val="FFEF99F03EF94B5FA9FBE4AC229B84CD"/>
    <w:rsid w:val="00A8275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24FCDF60C6614B8FFF09FE43F7477C" ma:contentTypeVersion="17" ma:contentTypeDescription="Create a new document." ma:contentTypeScope="" ma:versionID="42300cbd619eaa94b7088980aa6ce03b">
  <xsd:schema xmlns:xsd="http://www.w3.org/2001/XMLSchema" xmlns:xs="http://www.w3.org/2001/XMLSchema" xmlns:p="http://schemas.microsoft.com/office/2006/metadata/properties" xmlns:ns2="b54af4b3-0f99-4a16-80e6-938e98379ef0" xmlns:ns3="73fa47b6-b269-487e-83dd-ab8ad5fd5352" targetNamespace="http://schemas.microsoft.com/office/2006/metadata/properties" ma:root="true" ma:fieldsID="b57f6e79f19a3c6275198d2755243c95" ns2:_="" ns3:_="">
    <xsd:import namespace="b54af4b3-0f99-4a16-80e6-938e98379ef0"/>
    <xsd:import namespace="73fa47b6-b269-487e-83dd-ab8ad5fd53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af4b3-0f99-4a16-80e6-938e98379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262c28-9016-41c7-810d-f59a50ae7f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a47b6-b269-487e-83dd-ab8ad5fd53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e6a7e1-bce4-493d-9c3b-bcab7b7f3eae}" ma:internalName="TaxCatchAll" ma:showField="CatchAllData" ma:web="73fa47b6-b269-487e-83dd-ab8ad5fd5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3fa47b6-b269-487e-83dd-ab8ad5fd5352" xsi:nil="true"/>
    <lcf76f155ced4ddcb4097134ff3c332f xmlns="b54af4b3-0f99-4a16-80e6-938e98379e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8646235A-C043-4C2A-B839-44FD84474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af4b3-0f99-4a16-80e6-938e98379ef0"/>
    <ds:schemaRef ds:uri="73fa47b6-b269-487e-83dd-ab8ad5fd5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73fa47b6-b269-487e-83dd-ab8ad5fd5352"/>
    <ds:schemaRef ds:uri="b54af4b3-0f99-4a16-80e6-938e98379e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2771</Words>
  <Characters>15341</Characters>
  <Application>Microsoft Office Word</Application>
  <DocSecurity>4</DocSecurity>
  <Lines>127</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2024-10-09T09:14:00Z</dcterms:created>
  <dcterms:modified xsi:type="dcterms:W3CDTF">2024-10-09T09:14:00Z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0x010100AD24FCDF60C6614B8FFF09FE43F7477C</vt:lpwstr>
  </property>
  <property fmtid="{D5CDD505-2E9C-101B-9397-08002B2CF9AE}" pid="3" name="MediaServiceImageTags">
    <vt:lpwstr/>
  </property>
</Properties>
</file>