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itle"/>
    <w:p w14:paraId="57718B6C" w14:textId="77777777" w:rsidR="000E77D5" w:rsidRPr="00212D07" w:rsidRDefault="00000000" w:rsidP="00D90E05">
      <w:pPr>
        <w:pStyle w:val="DDLTitle"/>
        <w:spacing w:after="120"/>
        <w:rPr>
          <w:bCs w:val="0"/>
          <w:sz w:val="16"/>
          <w:szCs w:val="28"/>
        </w:rPr>
      </w:pPr>
      <w:sdt>
        <w:sdtPr>
          <w:alias w:val="Title"/>
          <w:tag w:val="Title"/>
          <w:id w:val="-912845432"/>
          <w:lock w:val="sdtLocked"/>
          <w:placeholder>
            <w:docPart w:val="F93874C70D8C44D6B0BA71800E08656C"/>
          </w:placeholder>
        </w:sdtPr>
        <w:sdtEndPr>
          <w:rPr>
            <w:bCs w:val="0"/>
            <w:sz w:val="16"/>
            <w:szCs w:val="28"/>
          </w:rPr>
        </w:sdtEndPr>
        <w:sdtContent>
          <w:proofErr w:type="spellStart"/>
          <w:r w:rsidR="00CE70C8" w:rsidRPr="00212D07">
            <w:rPr>
              <w:bCs w:val="0"/>
              <w:szCs w:val="18"/>
            </w:rPr>
            <w:t>Q</w:t>
          </w:r>
          <w:r w:rsidR="00D90E05" w:rsidRPr="00212D07">
            <w:rPr>
              <w:bCs w:val="0"/>
              <w:szCs w:val="18"/>
            </w:rPr>
            <w:t>bD</w:t>
          </w:r>
          <w:proofErr w:type="spellEnd"/>
          <w:r w:rsidR="00D90E05" w:rsidRPr="00212D07">
            <w:rPr>
              <w:bCs w:val="0"/>
              <w:szCs w:val="18"/>
            </w:rPr>
            <w:t xml:space="preserve"> Assisted Development of Inhalable Spray-Dried </w:t>
          </w:r>
          <w:proofErr w:type="spellStart"/>
          <w:r w:rsidR="00D90E05" w:rsidRPr="00212D07">
            <w:rPr>
              <w:bCs w:val="0"/>
              <w:szCs w:val="18"/>
            </w:rPr>
            <w:t>Procubosomal</w:t>
          </w:r>
          <w:proofErr w:type="spellEnd"/>
          <w:r w:rsidR="00D90E05" w:rsidRPr="00212D07">
            <w:rPr>
              <w:bCs w:val="0"/>
              <w:szCs w:val="18"/>
            </w:rPr>
            <w:t xml:space="preserve"> Powder Intended to be used for Lung Delivery</w:t>
          </w:r>
        </w:sdtContent>
      </w:sdt>
      <w:bookmarkEnd w:id="0"/>
    </w:p>
    <w:bookmarkStart w:id="1" w:name="Author"/>
    <w:p w14:paraId="39FE8E71" w14:textId="77777777" w:rsidR="00C65A37" w:rsidRPr="00D90E05" w:rsidRDefault="00000000" w:rsidP="00AD115D">
      <w:pPr>
        <w:pStyle w:val="DDLSubtitle"/>
      </w:pPr>
      <w:sdt>
        <w:sdtPr>
          <w:alias w:val="Main Author"/>
          <w:tag w:val="Main Author"/>
          <w:id w:val="854543900"/>
          <w:lock w:val="sdtLocked"/>
          <w:placeholder>
            <w:docPart w:val="38BA82FFF2774C26AC6862CFB8BB55DB"/>
          </w:placeholder>
        </w:sdtPr>
        <w:sdtContent>
          <w:r w:rsidR="00D90E05" w:rsidRPr="00D90E05">
            <w:rPr>
              <w:u w:val="single"/>
            </w:rPr>
            <w:t>Akash Deep</w:t>
          </w:r>
          <w:r w:rsidR="00D90E05" w:rsidRPr="00D90E05">
            <w:t xml:space="preserve"> &amp; Vikas Rana</w:t>
          </w:r>
        </w:sdtContent>
      </w:sdt>
      <w:bookmarkEnd w:id="1"/>
    </w:p>
    <w:p w14:paraId="75AB6794" w14:textId="77777777" w:rsidR="00D90E05" w:rsidRPr="00D90E05" w:rsidRDefault="00D90E05" w:rsidP="00D90E05">
      <w:pPr>
        <w:pStyle w:val="DDLAddress2"/>
        <w:spacing w:after="0"/>
        <w:rPr>
          <w:bCs/>
          <w:u w:val="single"/>
        </w:rPr>
      </w:pPr>
      <w:r w:rsidRPr="000E68C7">
        <w:rPr>
          <w:rFonts w:cs="Arial"/>
          <w:sz w:val="20"/>
          <w:szCs w:val="20"/>
        </w:rPr>
        <w:t>Department of Pharmaceutical Sciences and Drug Research, Punjabi University, Patiala (Punjab), India</w:t>
      </w:r>
    </w:p>
    <w:p w14:paraId="4BB1937F" w14:textId="77777777" w:rsidR="00C65A37" w:rsidRPr="00582113" w:rsidRDefault="00C65A37" w:rsidP="00B220B8">
      <w:pPr>
        <w:pStyle w:val="DDLHeading1"/>
        <w:spacing w:before="120" w:after="0"/>
        <w:rPr>
          <w:sz w:val="20"/>
          <w:szCs w:val="20"/>
        </w:rPr>
      </w:pPr>
      <w:r w:rsidRPr="00582113">
        <w:rPr>
          <w:sz w:val="20"/>
          <w:szCs w:val="20"/>
        </w:rPr>
        <w:t>Summary</w:t>
      </w:r>
    </w:p>
    <w:p w14:paraId="76745D5A" w14:textId="77777777" w:rsidR="00D90E05" w:rsidRDefault="003B741F" w:rsidP="00D90E05">
      <w:pPr>
        <w:pStyle w:val="DDLBodyText"/>
        <w:spacing w:after="120"/>
        <w:rPr>
          <w:sz w:val="20"/>
        </w:rPr>
      </w:pPr>
      <w:r>
        <w:rPr>
          <w:sz w:val="20"/>
        </w:rPr>
        <w:t>The primary objective of</w:t>
      </w:r>
      <w:r w:rsidR="00D90E05">
        <w:rPr>
          <w:sz w:val="20"/>
        </w:rPr>
        <w:t xml:space="preserve"> study was to optimize the parameters </w:t>
      </w:r>
      <w:r>
        <w:rPr>
          <w:sz w:val="20"/>
        </w:rPr>
        <w:t>involved in development of</w:t>
      </w:r>
      <w:r w:rsidR="00D90E05">
        <w:rPr>
          <w:sz w:val="20"/>
        </w:rPr>
        <w:t xml:space="preserve"> inhalable spray-dried </w:t>
      </w:r>
      <w:proofErr w:type="spellStart"/>
      <w:r w:rsidR="00D90E05">
        <w:rPr>
          <w:sz w:val="20"/>
        </w:rPr>
        <w:t>procubo</w:t>
      </w:r>
      <w:r>
        <w:rPr>
          <w:sz w:val="20"/>
        </w:rPr>
        <w:t>somal</w:t>
      </w:r>
      <w:proofErr w:type="spellEnd"/>
      <w:r>
        <w:rPr>
          <w:sz w:val="20"/>
        </w:rPr>
        <w:t xml:space="preserve"> powder (SDPP) using the</w:t>
      </w:r>
      <w:r w:rsidR="00D90E05">
        <w:rPr>
          <w:sz w:val="20"/>
        </w:rPr>
        <w:t xml:space="preserve"> spray drying</w:t>
      </w:r>
      <w:r>
        <w:rPr>
          <w:sz w:val="20"/>
        </w:rPr>
        <w:t xml:space="preserve"> process, with an aim to</w:t>
      </w:r>
      <w:r w:rsidR="00D90E05">
        <w:rPr>
          <w:sz w:val="20"/>
        </w:rPr>
        <w:t xml:space="preserve"> improved aerosolization performance and yield</w:t>
      </w:r>
      <w:r>
        <w:rPr>
          <w:sz w:val="20"/>
        </w:rPr>
        <w:t xml:space="preserve"> of formulation</w:t>
      </w:r>
      <w:r w:rsidR="00D90E05">
        <w:rPr>
          <w:sz w:val="20"/>
        </w:rPr>
        <w:t xml:space="preserve">. The development of gefitinib (GFT) loaded-SDPP </w:t>
      </w:r>
      <w:r w:rsidR="00D90E05" w:rsidRPr="002668A4">
        <w:rPr>
          <w:sz w:val="20"/>
        </w:rPr>
        <w:t xml:space="preserve">began with </w:t>
      </w:r>
      <w:r w:rsidR="00E44DA6">
        <w:rPr>
          <w:sz w:val="20"/>
        </w:rPr>
        <w:t>establishment of a</w:t>
      </w:r>
      <w:r w:rsidR="00D90E05" w:rsidRPr="00823AC4">
        <w:rPr>
          <w:sz w:val="20"/>
        </w:rPr>
        <w:t xml:space="preserve"> qualit</w:t>
      </w:r>
      <w:r w:rsidR="00D90E05">
        <w:rPr>
          <w:sz w:val="20"/>
        </w:rPr>
        <w:t>y target product profile and</w:t>
      </w:r>
      <w:r w:rsidR="00D90E05" w:rsidRPr="00823AC4">
        <w:rPr>
          <w:sz w:val="20"/>
        </w:rPr>
        <w:t xml:space="preserve"> </w:t>
      </w:r>
      <w:r w:rsidR="00E44DA6">
        <w:rPr>
          <w:sz w:val="20"/>
        </w:rPr>
        <w:t xml:space="preserve">a thorough risk </w:t>
      </w:r>
      <w:r w:rsidR="00D90E05" w:rsidRPr="00823AC4">
        <w:rPr>
          <w:sz w:val="20"/>
        </w:rPr>
        <w:t>ass</w:t>
      </w:r>
      <w:r w:rsidR="00D90E05">
        <w:rPr>
          <w:sz w:val="20"/>
        </w:rPr>
        <w:t xml:space="preserve">essment by the Ishikawa diagram </w:t>
      </w:r>
      <w:r w:rsidR="00E44DA6">
        <w:rPr>
          <w:sz w:val="20"/>
        </w:rPr>
        <w:t xml:space="preserve">that identifies </w:t>
      </w:r>
      <w:r w:rsidR="00D90E05">
        <w:rPr>
          <w:sz w:val="20"/>
        </w:rPr>
        <w:t>ten</w:t>
      </w:r>
      <w:r w:rsidR="00D90E05" w:rsidRPr="00823AC4">
        <w:rPr>
          <w:sz w:val="20"/>
        </w:rPr>
        <w:t xml:space="preserve"> high-risk parameters</w:t>
      </w:r>
      <w:r w:rsidR="00D90E05">
        <w:rPr>
          <w:sz w:val="20"/>
        </w:rPr>
        <w:t xml:space="preserve"> to guide formulation development. </w:t>
      </w:r>
      <w:r w:rsidR="00E44DA6" w:rsidRPr="00E44DA6">
        <w:rPr>
          <w:sz w:val="20"/>
        </w:rPr>
        <w:t>Subsequently</w:t>
      </w:r>
      <w:r w:rsidR="00D90E05">
        <w:rPr>
          <w:sz w:val="20"/>
        </w:rPr>
        <w:t>, t</w:t>
      </w:r>
      <w:r w:rsidR="00D90E05" w:rsidRPr="002668A4">
        <w:rPr>
          <w:sz w:val="20"/>
        </w:rPr>
        <w:t>he Taguc</w:t>
      </w:r>
      <w:r w:rsidR="00E44DA6">
        <w:rPr>
          <w:sz w:val="20"/>
        </w:rPr>
        <w:t>hi design was employed</w:t>
      </w:r>
      <w:r w:rsidR="00D90E05" w:rsidRPr="002668A4">
        <w:rPr>
          <w:sz w:val="20"/>
        </w:rPr>
        <w:t xml:space="preserve"> to </w:t>
      </w:r>
      <w:r w:rsidR="00E44DA6">
        <w:rPr>
          <w:sz w:val="20"/>
        </w:rPr>
        <w:t xml:space="preserve">systematically </w:t>
      </w:r>
      <w:r w:rsidR="00D90E05" w:rsidRPr="002668A4">
        <w:rPr>
          <w:sz w:val="20"/>
        </w:rPr>
        <w:t xml:space="preserve">screen different </w:t>
      </w:r>
      <w:r w:rsidR="00D90E05">
        <w:rPr>
          <w:sz w:val="20"/>
        </w:rPr>
        <w:t>formulation</w:t>
      </w:r>
      <w:r w:rsidR="00D90E05" w:rsidRPr="002668A4">
        <w:rPr>
          <w:sz w:val="20"/>
        </w:rPr>
        <w:t xml:space="preserve"> </w:t>
      </w:r>
      <w:r w:rsidR="00D90E05">
        <w:rPr>
          <w:sz w:val="20"/>
        </w:rPr>
        <w:t>parameters (</w:t>
      </w:r>
      <w:r w:rsidR="00D90E05" w:rsidRPr="002668A4">
        <w:rPr>
          <w:sz w:val="20"/>
        </w:rPr>
        <w:t>glyceryl monooleate</w:t>
      </w:r>
      <w:r w:rsidR="00D90E05">
        <w:rPr>
          <w:sz w:val="20"/>
        </w:rPr>
        <w:t>: poloxamer P407</w:t>
      </w:r>
      <w:r w:rsidR="00D90E05" w:rsidRPr="002668A4">
        <w:rPr>
          <w:sz w:val="20"/>
        </w:rPr>
        <w:t>, poly</w:t>
      </w:r>
      <w:r w:rsidR="00D90E05">
        <w:rPr>
          <w:sz w:val="20"/>
        </w:rPr>
        <w:t>ethylene glycol 200</w:t>
      </w:r>
      <w:r w:rsidR="00E44DA6">
        <w:rPr>
          <w:sz w:val="20"/>
        </w:rPr>
        <w:t xml:space="preserve"> content</w:t>
      </w:r>
      <w:r w:rsidR="00D90E05">
        <w:rPr>
          <w:sz w:val="20"/>
        </w:rPr>
        <w:t xml:space="preserve">, stirring temperature, stirring speed, stirring duration, mannitol: leucine) </w:t>
      </w:r>
      <w:r w:rsidR="009B4217">
        <w:rPr>
          <w:sz w:val="20"/>
        </w:rPr>
        <w:t>and process parameters</w:t>
      </w:r>
      <w:r w:rsidR="00D90E05" w:rsidRPr="002668A4">
        <w:rPr>
          <w:sz w:val="20"/>
        </w:rPr>
        <w:t xml:space="preserve"> </w:t>
      </w:r>
      <w:r w:rsidR="00D90E05">
        <w:rPr>
          <w:sz w:val="20"/>
        </w:rPr>
        <w:t xml:space="preserve">(inlet temperature, outlet temperature, aspirator flow rate) </w:t>
      </w:r>
      <w:r w:rsidR="00D90E05" w:rsidRPr="002668A4">
        <w:rPr>
          <w:sz w:val="20"/>
        </w:rPr>
        <w:t xml:space="preserve">along with equipment configuration </w:t>
      </w:r>
      <w:r w:rsidR="00D90E05">
        <w:rPr>
          <w:sz w:val="20"/>
        </w:rPr>
        <w:t xml:space="preserve">parameter </w:t>
      </w:r>
      <w:r w:rsidR="0024028B">
        <w:rPr>
          <w:sz w:val="20"/>
        </w:rPr>
        <w:t>(cyclone design). These parameters were assessed</w:t>
      </w:r>
      <w:r w:rsidR="00D90E05" w:rsidRPr="002668A4">
        <w:rPr>
          <w:sz w:val="20"/>
        </w:rPr>
        <w:t xml:space="preserve"> based on their individual effect</w:t>
      </w:r>
      <w:r w:rsidR="00D90E05">
        <w:rPr>
          <w:sz w:val="20"/>
        </w:rPr>
        <w:t>s</w:t>
      </w:r>
      <w:r w:rsidR="00E44DA6">
        <w:rPr>
          <w:sz w:val="20"/>
        </w:rPr>
        <w:t xml:space="preserve"> on </w:t>
      </w:r>
      <w:r w:rsidR="00D90E05" w:rsidRPr="002668A4">
        <w:rPr>
          <w:sz w:val="20"/>
        </w:rPr>
        <w:t>critical qual</w:t>
      </w:r>
      <w:r w:rsidR="0024028B">
        <w:rPr>
          <w:sz w:val="20"/>
        </w:rPr>
        <w:t xml:space="preserve">ity attributes, i.e., </w:t>
      </w:r>
      <w:r w:rsidR="0024028B" w:rsidRPr="002668A4">
        <w:rPr>
          <w:sz w:val="20"/>
        </w:rPr>
        <w:t>yield (%), device removal efficiency (DRE, %), aerosolization efficiency (AE, %), and fine particle fraction (FPF</w:t>
      </w:r>
      <w:r w:rsidR="0024028B" w:rsidRPr="00582335">
        <w:rPr>
          <w:sz w:val="20"/>
          <w:vertAlign w:val="subscript"/>
        </w:rPr>
        <w:t>TSI</w:t>
      </w:r>
      <w:r w:rsidR="00C66E07">
        <w:rPr>
          <w:sz w:val="20"/>
        </w:rPr>
        <w:t xml:space="preserve">, </w:t>
      </w:r>
      <w:r w:rsidR="0024028B" w:rsidRPr="002668A4">
        <w:rPr>
          <w:sz w:val="20"/>
        </w:rPr>
        <w:t>%)</w:t>
      </w:r>
      <w:r w:rsidR="00D90E05">
        <w:rPr>
          <w:sz w:val="20"/>
        </w:rPr>
        <w:t xml:space="preserve"> of GFT-SDPP. </w:t>
      </w:r>
      <w:r w:rsidR="00175660">
        <w:rPr>
          <w:sz w:val="20"/>
        </w:rPr>
        <w:t>The results revealed</w:t>
      </w:r>
      <w:r w:rsidR="00D90E05">
        <w:rPr>
          <w:sz w:val="20"/>
        </w:rPr>
        <w:t xml:space="preserve"> that </w:t>
      </w:r>
      <w:r w:rsidR="00D90E05" w:rsidRPr="00823AC4">
        <w:rPr>
          <w:sz w:val="20"/>
        </w:rPr>
        <w:t xml:space="preserve">optimized </w:t>
      </w:r>
      <w:r w:rsidR="00175660">
        <w:rPr>
          <w:sz w:val="20"/>
        </w:rPr>
        <w:t>formulation achieved a</w:t>
      </w:r>
      <w:r w:rsidR="00D90E05">
        <w:rPr>
          <w:sz w:val="20"/>
        </w:rPr>
        <w:t xml:space="preserve"> </w:t>
      </w:r>
      <w:r w:rsidR="00175660">
        <w:rPr>
          <w:sz w:val="20"/>
        </w:rPr>
        <w:t xml:space="preserve">satisfactory aerosolization performance, i.e., </w:t>
      </w:r>
      <w:r w:rsidR="00D90E05">
        <w:rPr>
          <w:sz w:val="20"/>
        </w:rPr>
        <w:t xml:space="preserve">DRE of 94.2 </w:t>
      </w:r>
      <w:r w:rsidR="00D90E05" w:rsidRPr="00582335">
        <w:rPr>
          <w:sz w:val="20"/>
        </w:rPr>
        <w:t>± 5.6</w:t>
      </w:r>
      <w:r w:rsidR="00D90E05">
        <w:rPr>
          <w:sz w:val="20"/>
        </w:rPr>
        <w:t xml:space="preserve">%, AE of </w:t>
      </w:r>
      <w:r w:rsidR="00D90E05" w:rsidRPr="00582335">
        <w:rPr>
          <w:sz w:val="20"/>
        </w:rPr>
        <w:t>52.2 ± 1.84</w:t>
      </w:r>
      <w:r w:rsidR="00D90E05">
        <w:rPr>
          <w:sz w:val="20"/>
        </w:rPr>
        <w:t xml:space="preserve">%, </w:t>
      </w:r>
      <w:r w:rsidR="00D90E05" w:rsidRPr="002668A4">
        <w:rPr>
          <w:sz w:val="20"/>
        </w:rPr>
        <w:t>FPF</w:t>
      </w:r>
      <w:r w:rsidR="00D90E05" w:rsidRPr="00582335">
        <w:rPr>
          <w:sz w:val="20"/>
          <w:vertAlign w:val="subscript"/>
        </w:rPr>
        <w:t>TSI</w:t>
      </w:r>
      <w:r w:rsidR="00D90E05">
        <w:rPr>
          <w:sz w:val="20"/>
        </w:rPr>
        <w:t xml:space="preserve"> of </w:t>
      </w:r>
      <w:r w:rsidR="00D90E05" w:rsidRPr="00582335">
        <w:rPr>
          <w:sz w:val="20"/>
        </w:rPr>
        <w:t>63.8 ± 3.63</w:t>
      </w:r>
      <w:r w:rsidR="00D90E05">
        <w:rPr>
          <w:sz w:val="20"/>
        </w:rPr>
        <w:t xml:space="preserve">% and yield of </w:t>
      </w:r>
      <w:r w:rsidR="00D90E05" w:rsidRPr="00582335">
        <w:rPr>
          <w:sz w:val="20"/>
        </w:rPr>
        <w:t>32.5 ± 2.82</w:t>
      </w:r>
      <w:r w:rsidR="0075415F">
        <w:rPr>
          <w:sz w:val="20"/>
        </w:rPr>
        <w:t>%</w:t>
      </w:r>
      <w:r w:rsidR="00D90E05">
        <w:rPr>
          <w:sz w:val="20"/>
        </w:rPr>
        <w:t xml:space="preserve">. </w:t>
      </w:r>
      <w:r w:rsidR="00175660">
        <w:rPr>
          <w:sz w:val="20"/>
        </w:rPr>
        <w:t>This o</w:t>
      </w:r>
      <w:r w:rsidR="00D90E05">
        <w:rPr>
          <w:sz w:val="20"/>
        </w:rPr>
        <w:t>pt</w:t>
      </w:r>
      <w:r w:rsidR="009B4217">
        <w:rPr>
          <w:sz w:val="20"/>
        </w:rPr>
        <w:t>imized</w:t>
      </w:r>
      <w:r w:rsidR="00AB1467">
        <w:rPr>
          <w:sz w:val="20"/>
        </w:rPr>
        <w:t xml:space="preserve"> formulation exhibited</w:t>
      </w:r>
      <w:r w:rsidR="00D90E05">
        <w:rPr>
          <w:sz w:val="20"/>
        </w:rPr>
        <w:t xml:space="preserve"> a mean median aerodynamic diameter (MMAD) of </w:t>
      </w:r>
      <w:r w:rsidR="00D90E05" w:rsidRPr="00850D33">
        <w:rPr>
          <w:sz w:val="20"/>
        </w:rPr>
        <w:t>3.29 ± 0.53</w:t>
      </w:r>
      <w:r w:rsidR="00D90E05" w:rsidRPr="003332B6">
        <w:rPr>
          <w:sz w:val="20"/>
        </w:rPr>
        <w:t xml:space="preserve"> µm</w:t>
      </w:r>
      <w:r w:rsidR="00D90E05">
        <w:rPr>
          <w:sz w:val="20"/>
        </w:rPr>
        <w:t>, enhanced FPF</w:t>
      </w:r>
      <w:r w:rsidR="00D90E05" w:rsidRPr="00850D33">
        <w:rPr>
          <w:sz w:val="20"/>
          <w:vertAlign w:val="subscript"/>
        </w:rPr>
        <w:t>AC</w:t>
      </w:r>
      <w:r w:rsidR="00D90E05">
        <w:rPr>
          <w:sz w:val="20"/>
        </w:rPr>
        <w:t xml:space="preserve"> (</w:t>
      </w:r>
      <w:r w:rsidR="00D90E05" w:rsidRPr="00850D33">
        <w:rPr>
          <w:sz w:val="20"/>
        </w:rPr>
        <w:t>60.83 ± 2.19%</w:t>
      </w:r>
      <w:r w:rsidR="00552617">
        <w:rPr>
          <w:sz w:val="20"/>
        </w:rPr>
        <w:t>) and</w:t>
      </w:r>
      <w:r w:rsidR="009B4217">
        <w:rPr>
          <w:sz w:val="20"/>
        </w:rPr>
        <w:t xml:space="preserve"> </w:t>
      </w:r>
      <w:r w:rsidR="00D90E05">
        <w:rPr>
          <w:sz w:val="20"/>
        </w:rPr>
        <w:t>entrapment efficiency (96.2 ± 3.98%). SEM analysis indicated smooth spherical particles wi</w:t>
      </w:r>
      <w:r w:rsidR="009B4217">
        <w:rPr>
          <w:sz w:val="20"/>
        </w:rPr>
        <w:t>th somewhat wrinkled surface</w:t>
      </w:r>
      <w:r w:rsidR="00D90E05">
        <w:rPr>
          <w:sz w:val="20"/>
        </w:rPr>
        <w:t xml:space="preserve">. The results of </w:t>
      </w:r>
      <w:r w:rsidR="00D90E05" w:rsidRPr="00552617">
        <w:rPr>
          <w:i/>
          <w:sz w:val="20"/>
        </w:rPr>
        <w:t>in-vitro</w:t>
      </w:r>
      <w:r w:rsidR="00D90E05">
        <w:rPr>
          <w:sz w:val="20"/>
        </w:rPr>
        <w:t xml:space="preserve"> dissolution studies indicated the sustained release of GFT from SDPP with enhanced d</w:t>
      </w:r>
      <w:r w:rsidR="009B4217">
        <w:rPr>
          <w:sz w:val="20"/>
        </w:rPr>
        <w:t>issolution</w:t>
      </w:r>
      <w:r w:rsidR="00D90E05">
        <w:rPr>
          <w:sz w:val="20"/>
        </w:rPr>
        <w:t xml:space="preserve">. In conclusion, </w:t>
      </w:r>
      <w:r w:rsidR="00252D42">
        <w:rPr>
          <w:sz w:val="20"/>
        </w:rPr>
        <w:t>this study successfully developed an inhalable SDPP formulation</w:t>
      </w:r>
      <w:r w:rsidR="009B4217">
        <w:rPr>
          <w:sz w:val="20"/>
        </w:rPr>
        <w:t>, demonstrating promising potential as</w:t>
      </w:r>
      <w:r w:rsidR="00D90E05">
        <w:rPr>
          <w:sz w:val="20"/>
        </w:rPr>
        <w:t xml:space="preserve"> targeted drug delivery system.</w:t>
      </w:r>
    </w:p>
    <w:p w14:paraId="692E4D50" w14:textId="77777777" w:rsidR="00E14DBF" w:rsidRPr="00582113" w:rsidRDefault="00E14DBF" w:rsidP="00B220B8">
      <w:pPr>
        <w:pStyle w:val="DDLBodyText"/>
        <w:spacing w:after="0"/>
        <w:rPr>
          <w:b/>
          <w:sz w:val="20"/>
        </w:rPr>
      </w:pPr>
      <w:r w:rsidRPr="00582113">
        <w:rPr>
          <w:b/>
          <w:sz w:val="20"/>
        </w:rPr>
        <w:t>Key Message</w:t>
      </w:r>
    </w:p>
    <w:p w14:paraId="3058ED93" w14:textId="77777777" w:rsidR="00D90E05" w:rsidRDefault="00D90E05" w:rsidP="00B220B8">
      <w:pPr>
        <w:pStyle w:val="DDLHeading1"/>
        <w:spacing w:before="0" w:after="120"/>
        <w:rPr>
          <w:rStyle w:val="Strong"/>
          <w:rFonts w:cs="Arial"/>
          <w:bCs/>
          <w:kern w:val="0"/>
          <w:sz w:val="20"/>
          <w:szCs w:val="20"/>
          <w:shd w:val="clear" w:color="auto" w:fill="FFFFFF"/>
        </w:rPr>
      </w:pPr>
      <w:r w:rsidRPr="006D56C0">
        <w:rPr>
          <w:rStyle w:val="Strong"/>
          <w:rFonts w:cs="Arial"/>
          <w:bCs/>
          <w:kern w:val="0"/>
          <w:sz w:val="20"/>
          <w:szCs w:val="20"/>
          <w:shd w:val="clear" w:color="auto" w:fill="FFFFFF"/>
        </w:rPr>
        <w:t>The opt</w:t>
      </w:r>
      <w:r w:rsidR="00BB20A3">
        <w:rPr>
          <w:rStyle w:val="Strong"/>
          <w:rFonts w:cs="Arial"/>
          <w:bCs/>
          <w:kern w:val="0"/>
          <w:sz w:val="20"/>
          <w:szCs w:val="20"/>
          <w:shd w:val="clear" w:color="auto" w:fill="FFFFFF"/>
        </w:rPr>
        <w:t>imized inhalable GFT-SDPP exhibited</w:t>
      </w:r>
      <w:r w:rsidRPr="006D56C0">
        <w:rPr>
          <w:rStyle w:val="Strong"/>
          <w:rFonts w:cs="Arial"/>
          <w:bCs/>
          <w:kern w:val="0"/>
          <w:sz w:val="20"/>
          <w:szCs w:val="20"/>
          <w:shd w:val="clear" w:color="auto" w:fill="FFFFFF"/>
        </w:rPr>
        <w:t xml:space="preserve"> desirable a</w:t>
      </w:r>
      <w:r w:rsidR="00B86B6F">
        <w:rPr>
          <w:rStyle w:val="Strong"/>
          <w:rFonts w:cs="Arial"/>
          <w:bCs/>
          <w:kern w:val="0"/>
          <w:sz w:val="20"/>
          <w:szCs w:val="20"/>
          <w:shd w:val="clear" w:color="auto" w:fill="FFFFFF"/>
        </w:rPr>
        <w:t xml:space="preserve">erosolization properties, a </w:t>
      </w:r>
      <w:r w:rsidRPr="006D56C0">
        <w:rPr>
          <w:rStyle w:val="Strong"/>
          <w:rFonts w:cs="Arial"/>
          <w:bCs/>
          <w:kern w:val="0"/>
          <w:sz w:val="20"/>
          <w:szCs w:val="20"/>
          <w:shd w:val="clear" w:color="auto" w:fill="FFFFFF"/>
        </w:rPr>
        <w:t>minimum MMAD, higher entrapment efficiency, and sustained release profile, thereby helping to reduce dose and dose-related systemic side effects. The non-invasive nature of inhalable formulation and its proposed target specificity opens the door to their potential use as pulmonary delivery system.</w:t>
      </w:r>
    </w:p>
    <w:p w14:paraId="5E9EEF60" w14:textId="77777777" w:rsidR="00C65A37" w:rsidRPr="00582113" w:rsidRDefault="00C65A37" w:rsidP="00B220B8">
      <w:pPr>
        <w:pStyle w:val="DDLHeading1"/>
        <w:spacing w:before="120" w:after="0"/>
        <w:rPr>
          <w:sz w:val="20"/>
          <w:szCs w:val="20"/>
        </w:rPr>
      </w:pPr>
      <w:r w:rsidRPr="00582113">
        <w:rPr>
          <w:sz w:val="20"/>
          <w:szCs w:val="20"/>
        </w:rPr>
        <w:t>Introduction</w:t>
      </w:r>
    </w:p>
    <w:p w14:paraId="125220F3" w14:textId="77777777" w:rsidR="00D90E05" w:rsidRDefault="00D90E05" w:rsidP="00D90E05">
      <w:pPr>
        <w:pStyle w:val="DDLBodyText"/>
        <w:spacing w:after="120"/>
        <w:rPr>
          <w:rStyle w:val="Strong"/>
          <w:rFonts w:cs="Arial"/>
          <w:b w:val="0"/>
          <w:sz w:val="20"/>
          <w:shd w:val="clear" w:color="auto" w:fill="FFFFFF"/>
        </w:rPr>
      </w:pPr>
      <w:r w:rsidRPr="00EE4F0F">
        <w:rPr>
          <w:rStyle w:val="Strong"/>
          <w:rFonts w:cs="Arial"/>
          <w:b w:val="0"/>
          <w:sz w:val="20"/>
          <w:shd w:val="clear" w:color="auto" w:fill="FFFFFF"/>
        </w:rPr>
        <w:t>Lung cancer is an aggressive and rapidly metastasizing malignan</w:t>
      </w:r>
      <w:r w:rsidR="00C1040E">
        <w:rPr>
          <w:rStyle w:val="Strong"/>
          <w:rFonts w:cs="Arial"/>
          <w:b w:val="0"/>
          <w:sz w:val="20"/>
          <w:shd w:val="clear" w:color="auto" w:fill="FFFFFF"/>
        </w:rPr>
        <w:t>cy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 characterized by the uncontroll</w:t>
      </w:r>
      <w:r w:rsidR="008F4B03">
        <w:rPr>
          <w:rStyle w:val="Strong"/>
          <w:rFonts w:cs="Arial"/>
          <w:b w:val="0"/>
          <w:sz w:val="20"/>
          <w:shd w:val="clear" w:color="auto" w:fill="FFFFFF"/>
        </w:rPr>
        <w:t>ed proliferation of cells in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 lung tissue. Non-small cell lung cancer</w:t>
      </w:r>
      <w:r w:rsidR="008F4B03">
        <w:rPr>
          <w:rStyle w:val="Strong"/>
          <w:rFonts w:cs="Arial"/>
          <w:b w:val="0"/>
          <w:sz w:val="20"/>
          <w:shd w:val="clear" w:color="auto" w:fill="FFFFFF"/>
        </w:rPr>
        <w:t xml:space="preserve"> (NSCLC) is the most common type of lung cancer, accounting for &gt;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>85% of all recorded cases of lung cancer</w:t>
      </w:r>
      <w:r w:rsidR="008F4B03">
        <w:rPr>
          <w:rStyle w:val="Strong"/>
          <w:rFonts w:cs="Arial"/>
          <w:b w:val="0"/>
          <w:sz w:val="20"/>
          <w:shd w:val="clear" w:color="auto" w:fill="FFFFFF"/>
        </w:rPr>
        <w:t xml:space="preserve"> worldwide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 [1-3]. Major chemotherapeutics used for treatment</w:t>
      </w:r>
      <w:r w:rsidR="008B3C9F">
        <w:rPr>
          <w:rStyle w:val="Strong"/>
          <w:rFonts w:cs="Arial"/>
          <w:b w:val="0"/>
          <w:sz w:val="20"/>
          <w:shd w:val="clear" w:color="auto" w:fill="FFFFFF"/>
        </w:rPr>
        <w:t>, available in the form of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 oral tablets and intravenous injections</w:t>
      </w:r>
      <w:r w:rsidR="008B3C9F">
        <w:rPr>
          <w:rStyle w:val="Strong"/>
          <w:rFonts w:cs="Arial"/>
          <w:b w:val="0"/>
          <w:sz w:val="20"/>
          <w:shd w:val="clear" w:color="auto" w:fill="FFFFFF"/>
        </w:rPr>
        <w:t>. However,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 </w:t>
      </w:r>
      <w:r w:rsidR="008B3C9F">
        <w:rPr>
          <w:rStyle w:val="Strong"/>
          <w:rFonts w:cs="Arial"/>
          <w:b w:val="0"/>
          <w:sz w:val="20"/>
          <w:shd w:val="clear" w:color="auto" w:fill="FFFFFF"/>
        </w:rPr>
        <w:t xml:space="preserve">they 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are highly lipophilic in nature (poor water solubility) and recommended </w:t>
      </w:r>
      <w:r>
        <w:rPr>
          <w:rStyle w:val="Strong"/>
          <w:rFonts w:cs="Arial"/>
          <w:b w:val="0"/>
          <w:sz w:val="20"/>
          <w:shd w:val="clear" w:color="auto" w:fill="FFFFFF"/>
        </w:rPr>
        <w:t xml:space="preserve">for 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>high doses and/or need surfactant</w:t>
      </w:r>
      <w:r>
        <w:rPr>
          <w:rStyle w:val="Strong"/>
          <w:rFonts w:cs="Arial"/>
          <w:b w:val="0"/>
          <w:sz w:val="20"/>
          <w:shd w:val="clear" w:color="auto" w:fill="FFFFFF"/>
        </w:rPr>
        <w:t>s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 to increase solubilization</w:t>
      </w:r>
      <w:r w:rsidR="008B3C9F">
        <w:rPr>
          <w:rStyle w:val="Strong"/>
          <w:rFonts w:cs="Arial"/>
          <w:b w:val="0"/>
          <w:sz w:val="20"/>
          <w:shd w:val="clear" w:color="auto" w:fill="FFFFFF"/>
        </w:rPr>
        <w:t xml:space="preserve">, aiming to improve 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therapeutic potential of </w:t>
      </w:r>
      <w:r>
        <w:rPr>
          <w:rStyle w:val="Strong"/>
          <w:rFonts w:cs="Arial"/>
          <w:b w:val="0"/>
          <w:sz w:val="20"/>
          <w:shd w:val="clear" w:color="auto" w:fill="FFFFFF"/>
        </w:rPr>
        <w:t xml:space="preserve">the 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drugs. </w:t>
      </w:r>
      <w:r w:rsidR="00A97E64">
        <w:rPr>
          <w:rStyle w:val="Strong"/>
          <w:rFonts w:cs="Arial"/>
          <w:b w:val="0"/>
          <w:sz w:val="20"/>
          <w:shd w:val="clear" w:color="auto" w:fill="FFFFFF"/>
        </w:rPr>
        <w:t xml:space="preserve">The considerable drawback of oral or intravenous delivery of chemotherapeutics is non-targeted distribution of anticancer drug rather than </w:t>
      </w:r>
      <w:proofErr w:type="spellStart"/>
      <w:r w:rsidR="00A97E64">
        <w:rPr>
          <w:rStyle w:val="Strong"/>
          <w:rFonts w:cs="Arial"/>
          <w:b w:val="0"/>
          <w:sz w:val="20"/>
          <w:shd w:val="clear" w:color="auto" w:fill="FFFFFF"/>
        </w:rPr>
        <w:t>tumor</w:t>
      </w:r>
      <w:proofErr w:type="spellEnd"/>
      <w:r w:rsidR="00A97E64">
        <w:rPr>
          <w:rStyle w:val="Strong"/>
          <w:rFonts w:cs="Arial"/>
          <w:b w:val="0"/>
          <w:sz w:val="20"/>
          <w:shd w:val="clear" w:color="auto" w:fill="FFFFFF"/>
        </w:rPr>
        <w:t xml:space="preserve"> sites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 [4]. The drawbacks associated with conventional chemotherapy can be overcome using tar</w:t>
      </w:r>
      <w:r>
        <w:rPr>
          <w:rStyle w:val="Strong"/>
          <w:rFonts w:cs="Arial"/>
          <w:b w:val="0"/>
          <w:sz w:val="20"/>
          <w:shd w:val="clear" w:color="auto" w:fill="FFFFFF"/>
        </w:rPr>
        <w:t>geted drug delivery with minimal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 systemic exposure. </w:t>
      </w:r>
      <w:r w:rsidR="00A97E64" w:rsidRPr="00A97E64">
        <w:rPr>
          <w:rStyle w:val="Strong"/>
          <w:rFonts w:cs="Arial"/>
          <w:b w:val="0"/>
          <w:sz w:val="20"/>
          <w:shd w:val="clear" w:color="auto" w:fill="FFFFFF"/>
        </w:rPr>
        <w:t xml:space="preserve">Scientists have developed various nanoparticulate formulations over recent years, serving as carriers for lung cancer treatment and overcoming the drawbacks associated with conventional therapies 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[5, 6]. Now, the </w:t>
      </w:r>
      <w:r w:rsidR="00A97E64">
        <w:rPr>
          <w:rStyle w:val="Strong"/>
          <w:rFonts w:cs="Arial"/>
          <w:b w:val="0"/>
          <w:sz w:val="20"/>
          <w:shd w:val="clear" w:color="auto" w:fill="FFFFFF"/>
        </w:rPr>
        <w:t xml:space="preserve">current 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>focus is to tar</w:t>
      </w:r>
      <w:r w:rsidR="00A97E64">
        <w:rPr>
          <w:rStyle w:val="Strong"/>
          <w:rFonts w:cs="Arial"/>
          <w:b w:val="0"/>
          <w:sz w:val="20"/>
          <w:shd w:val="clear" w:color="auto" w:fill="FFFFFF"/>
        </w:rPr>
        <w:t>get anticancer drug-loaded nano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particulate drug delivery system to the lungs by developing an inhalable locally accumulating chemotherapeutic dosage form [7]. </w:t>
      </w:r>
      <w:r w:rsidR="000E0F5B">
        <w:rPr>
          <w:rStyle w:val="Strong"/>
          <w:rFonts w:cs="Arial"/>
          <w:b w:val="0"/>
          <w:sz w:val="20"/>
          <w:shd w:val="clear" w:color="auto" w:fill="FFFFFF"/>
        </w:rPr>
        <w:t>In this context, Gefitinib (GFT) serves as the model drug for formulation evaluation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>. Among the numer</w:t>
      </w:r>
      <w:r w:rsidR="000E0F5B">
        <w:rPr>
          <w:rStyle w:val="Strong"/>
          <w:rFonts w:cs="Arial"/>
          <w:b w:val="0"/>
          <w:sz w:val="20"/>
          <w:shd w:val="clear" w:color="auto" w:fill="FFFFFF"/>
        </w:rPr>
        <w:t xml:space="preserve">ous novel bioactive platforms, </w:t>
      </w:r>
      <w:proofErr w:type="spellStart"/>
      <w:r w:rsidR="000E0F5B">
        <w:rPr>
          <w:rStyle w:val="Strong"/>
          <w:rFonts w:cs="Arial"/>
          <w:b w:val="0"/>
          <w:sz w:val="20"/>
          <w:shd w:val="clear" w:color="auto" w:fill="FFFFFF"/>
        </w:rPr>
        <w:t>c</w:t>
      </w:r>
      <w:r w:rsidR="00D74F0A">
        <w:rPr>
          <w:rStyle w:val="Strong"/>
          <w:rFonts w:cs="Arial"/>
          <w:b w:val="0"/>
          <w:sz w:val="20"/>
          <w:shd w:val="clear" w:color="auto" w:fill="FFFFFF"/>
        </w:rPr>
        <w:t>ubosomes</w:t>
      </w:r>
      <w:proofErr w:type="spellEnd"/>
      <w:r w:rsidR="00D74F0A">
        <w:rPr>
          <w:rStyle w:val="Strong"/>
          <w:rFonts w:cs="Arial"/>
          <w:b w:val="0"/>
          <w:sz w:val="20"/>
          <w:shd w:val="clear" w:color="auto" w:fill="FFFFFF"/>
        </w:rPr>
        <w:t xml:space="preserve"> have emerged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 as magnificent carriers for insoluble drugs because of their substantial characteristics, i.e., gr</w:t>
      </w:r>
      <w:r w:rsidR="00D74F0A">
        <w:rPr>
          <w:rStyle w:val="Strong"/>
          <w:rFonts w:cs="Arial"/>
          <w:b w:val="0"/>
          <w:sz w:val="20"/>
          <w:shd w:val="clear" w:color="auto" w:fill="FFFFFF"/>
        </w:rPr>
        <w:t>eater surface area, mucoadhesive properties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>, thermodynamic stability, the ability to encapsulate hydrophilic, hydrophobic,</w:t>
      </w:r>
      <w:r w:rsidR="00B2402A">
        <w:rPr>
          <w:rStyle w:val="Strong"/>
          <w:rFonts w:cs="Arial"/>
          <w:b w:val="0"/>
          <w:sz w:val="20"/>
          <w:shd w:val="clear" w:color="auto" w:fill="FFFFFF"/>
        </w:rPr>
        <w:t xml:space="preserve"> and amphiphilic substances, 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biocompatible </w:t>
      </w:r>
      <w:proofErr w:type="gramStart"/>
      <w:r w:rsidRPr="00EE4F0F">
        <w:rPr>
          <w:rStyle w:val="Strong"/>
          <w:rFonts w:cs="Arial"/>
          <w:b w:val="0"/>
          <w:sz w:val="20"/>
          <w:shd w:val="clear" w:color="auto" w:fill="FFFFFF"/>
        </w:rPr>
        <w:t>nature</w:t>
      </w:r>
      <w:proofErr w:type="gramEnd"/>
      <w:r w:rsidR="00B2402A">
        <w:rPr>
          <w:rStyle w:val="Strong"/>
          <w:rFonts w:cs="Arial"/>
          <w:b w:val="0"/>
          <w:sz w:val="20"/>
          <w:shd w:val="clear" w:color="auto" w:fill="FFFFFF"/>
        </w:rPr>
        <w:t xml:space="preserve"> and sustained drug delivery. In comparison to other nanocarriers, </w:t>
      </w:r>
      <w:proofErr w:type="spellStart"/>
      <w:r w:rsidR="00B2402A">
        <w:rPr>
          <w:rStyle w:val="Strong"/>
          <w:rFonts w:cs="Arial"/>
          <w:b w:val="0"/>
          <w:sz w:val="20"/>
          <w:shd w:val="clear" w:color="auto" w:fill="FFFFFF"/>
        </w:rPr>
        <w:t>cubosomes</w:t>
      </w:r>
      <w:proofErr w:type="spellEnd"/>
      <w:r w:rsidR="00B2402A">
        <w:rPr>
          <w:rStyle w:val="Strong"/>
          <w:rFonts w:cs="Arial"/>
          <w:b w:val="0"/>
          <w:sz w:val="20"/>
          <w:shd w:val="clear" w:color="auto" w:fill="FFFFFF"/>
        </w:rPr>
        <w:t xml:space="preserve"> exhibit distinct </w:t>
      </w:r>
      <w:r w:rsidR="00C92BFC">
        <w:rPr>
          <w:rStyle w:val="Strong"/>
          <w:rFonts w:cs="Arial"/>
          <w:b w:val="0"/>
          <w:sz w:val="20"/>
          <w:shd w:val="clear" w:color="auto" w:fill="FFFFFF"/>
        </w:rPr>
        <w:t xml:space="preserve">advantages 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>because of their structural symmetry and molecular orientation [8]. Spray drying is a leading high-throughput pharmaceutical dry powder precursor manufacturing technology that may effective</w:t>
      </w:r>
      <w:r>
        <w:rPr>
          <w:rStyle w:val="Strong"/>
          <w:rFonts w:cs="Arial"/>
          <w:b w:val="0"/>
          <w:sz w:val="20"/>
          <w:shd w:val="clear" w:color="auto" w:fill="FFFFFF"/>
        </w:rPr>
        <w:t>ly design and develop inhalable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 powder particles in the solid state [9]. In summary, the superior therapeutic efficacy of GFT-loaded </w:t>
      </w:r>
      <w:proofErr w:type="spellStart"/>
      <w:r w:rsidRPr="00EE4F0F">
        <w:rPr>
          <w:rStyle w:val="Strong"/>
          <w:rFonts w:cs="Arial"/>
          <w:b w:val="0"/>
          <w:sz w:val="20"/>
          <w:shd w:val="clear" w:color="auto" w:fill="FFFFFF"/>
        </w:rPr>
        <w:t>cubosomes</w:t>
      </w:r>
      <w:proofErr w:type="spellEnd"/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 would be demonstrated when inhalable </w:t>
      </w:r>
      <w:proofErr w:type="spellStart"/>
      <w:r w:rsidRPr="00EE4F0F">
        <w:rPr>
          <w:rStyle w:val="Strong"/>
          <w:rFonts w:cs="Arial"/>
          <w:b w:val="0"/>
          <w:sz w:val="20"/>
          <w:shd w:val="clear" w:color="auto" w:fill="FFFFFF"/>
        </w:rPr>
        <w:t>procubosomal</w:t>
      </w:r>
      <w:proofErr w:type="spellEnd"/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 formulation will thoroughly </w:t>
      </w:r>
      <w:r>
        <w:rPr>
          <w:rStyle w:val="Strong"/>
          <w:rFonts w:cs="Arial"/>
          <w:b w:val="0"/>
          <w:sz w:val="20"/>
          <w:shd w:val="clear" w:color="auto" w:fill="FFFFFF"/>
        </w:rPr>
        <w:t xml:space="preserve">be 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>investigated for pulmonary drug delivery, especially in the therapy of lung cancer. The Taguchi design was used to screen and study the effect of</w:t>
      </w:r>
      <w:r w:rsidR="00C82A7D">
        <w:rPr>
          <w:rStyle w:val="Strong"/>
          <w:rFonts w:cs="Arial"/>
          <w:b w:val="0"/>
          <w:sz w:val="20"/>
          <w:shd w:val="clear" w:color="auto" w:fill="FFFFFF"/>
        </w:rPr>
        <w:t xml:space="preserve"> different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 xml:space="preserve"> selected formulation and process parameters along with equipment configuration (cyclone design) on selected critical qu</w:t>
      </w:r>
      <w:r>
        <w:rPr>
          <w:rStyle w:val="Strong"/>
          <w:rFonts w:cs="Arial"/>
          <w:b w:val="0"/>
          <w:sz w:val="20"/>
          <w:shd w:val="clear" w:color="auto" w:fill="FFFFFF"/>
        </w:rPr>
        <w:t>ality attributes (CQAs) of</w:t>
      </w:r>
      <w:r w:rsidR="00C82A7D">
        <w:rPr>
          <w:rStyle w:val="Strong"/>
          <w:rFonts w:cs="Arial"/>
          <w:b w:val="0"/>
          <w:sz w:val="20"/>
          <w:shd w:val="clear" w:color="auto" w:fill="FFFFFF"/>
        </w:rPr>
        <w:t xml:space="preserve"> GFT-loaded 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>spray-</w:t>
      </w:r>
      <w:r>
        <w:rPr>
          <w:rStyle w:val="Strong"/>
          <w:rFonts w:cs="Arial"/>
          <w:b w:val="0"/>
          <w:sz w:val="20"/>
          <w:shd w:val="clear" w:color="auto" w:fill="FFFFFF"/>
        </w:rPr>
        <w:t xml:space="preserve">dried </w:t>
      </w:r>
      <w:proofErr w:type="spellStart"/>
      <w:r>
        <w:rPr>
          <w:rStyle w:val="Strong"/>
          <w:rFonts w:cs="Arial"/>
          <w:b w:val="0"/>
          <w:sz w:val="20"/>
          <w:shd w:val="clear" w:color="auto" w:fill="FFFFFF"/>
        </w:rPr>
        <w:t>procubosomal</w:t>
      </w:r>
      <w:proofErr w:type="spellEnd"/>
      <w:r>
        <w:rPr>
          <w:rStyle w:val="Strong"/>
          <w:rFonts w:cs="Arial"/>
          <w:b w:val="0"/>
          <w:sz w:val="20"/>
          <w:shd w:val="clear" w:color="auto" w:fill="FFFFFF"/>
        </w:rPr>
        <w:t xml:space="preserve"> powder (GFT</w:t>
      </w:r>
      <w:r w:rsidRPr="00EE4F0F">
        <w:rPr>
          <w:rStyle w:val="Strong"/>
          <w:rFonts w:cs="Arial"/>
          <w:b w:val="0"/>
          <w:sz w:val="20"/>
          <w:shd w:val="clear" w:color="auto" w:fill="FFFFFF"/>
        </w:rPr>
        <w:t>-SDPP).</w:t>
      </w:r>
    </w:p>
    <w:p w14:paraId="73C6D368" w14:textId="77777777" w:rsidR="00D90E05" w:rsidRPr="00582113" w:rsidRDefault="00D90E05" w:rsidP="00B220B8">
      <w:pPr>
        <w:pStyle w:val="DDLHeading1"/>
        <w:spacing w:before="120" w:after="0"/>
        <w:rPr>
          <w:sz w:val="20"/>
          <w:szCs w:val="20"/>
        </w:rPr>
      </w:pPr>
      <w:r>
        <w:rPr>
          <w:sz w:val="20"/>
          <w:szCs w:val="20"/>
        </w:rPr>
        <w:t>Methods</w:t>
      </w:r>
    </w:p>
    <w:p w14:paraId="2DA92169" w14:textId="77777777" w:rsidR="00D90E05" w:rsidRDefault="00D90E05" w:rsidP="00D90E05">
      <w:pPr>
        <w:pStyle w:val="DDLBodyText"/>
        <w:spacing w:after="120"/>
        <w:rPr>
          <w:rFonts w:cs="Arial"/>
          <w:sz w:val="20"/>
        </w:rPr>
      </w:pPr>
      <w:r w:rsidRPr="003701C9">
        <w:rPr>
          <w:sz w:val="20"/>
        </w:rPr>
        <w:t>The risk assessment was conducted to</w:t>
      </w:r>
      <w:r w:rsidR="0073320C">
        <w:rPr>
          <w:sz w:val="20"/>
        </w:rPr>
        <w:t xml:space="preserve"> identify the critical formulation</w:t>
      </w:r>
      <w:r w:rsidRPr="003701C9">
        <w:rPr>
          <w:sz w:val="20"/>
        </w:rPr>
        <w:t xml:space="preserve"> and process parameters that affect the quality of the inhalable spray-dried </w:t>
      </w:r>
      <w:proofErr w:type="spellStart"/>
      <w:r>
        <w:rPr>
          <w:sz w:val="20"/>
        </w:rPr>
        <w:t>pro</w:t>
      </w:r>
      <w:r w:rsidRPr="003701C9">
        <w:rPr>
          <w:sz w:val="20"/>
        </w:rPr>
        <w:t>cubosomal</w:t>
      </w:r>
      <w:proofErr w:type="spellEnd"/>
      <w:r w:rsidRPr="003701C9">
        <w:rPr>
          <w:sz w:val="20"/>
        </w:rPr>
        <w:t xml:space="preserve"> powder</w:t>
      </w:r>
      <w:r>
        <w:rPr>
          <w:sz w:val="20"/>
        </w:rPr>
        <w:t xml:space="preserve"> (SDPP)</w:t>
      </w:r>
      <w:r w:rsidRPr="003701C9">
        <w:rPr>
          <w:sz w:val="20"/>
        </w:rPr>
        <w:t xml:space="preserve"> an</w:t>
      </w:r>
      <w:r w:rsidR="00065F8A">
        <w:rPr>
          <w:sz w:val="20"/>
        </w:rPr>
        <w:t xml:space="preserve">d spray drying process. </w:t>
      </w:r>
      <w:r w:rsidR="00065F8A">
        <w:rPr>
          <w:sz w:val="20"/>
        </w:rPr>
        <w:lastRenderedPageBreak/>
        <w:t>T</w:t>
      </w:r>
      <w:r w:rsidRPr="003701C9">
        <w:rPr>
          <w:sz w:val="20"/>
        </w:rPr>
        <w:t xml:space="preserve">o </w:t>
      </w:r>
      <w:proofErr w:type="spellStart"/>
      <w:r w:rsidRPr="003701C9">
        <w:rPr>
          <w:sz w:val="20"/>
        </w:rPr>
        <w:t>analyze</w:t>
      </w:r>
      <w:proofErr w:type="spellEnd"/>
      <w:r w:rsidRPr="003701C9">
        <w:rPr>
          <w:sz w:val="20"/>
        </w:rPr>
        <w:t xml:space="preserve"> critical material attributes (CMAs) and critical process parameters (CPPs), </w:t>
      </w:r>
      <w:r w:rsidR="00065F8A" w:rsidRPr="003701C9">
        <w:rPr>
          <w:sz w:val="20"/>
        </w:rPr>
        <w:t>well-established tools</w:t>
      </w:r>
      <w:r w:rsidR="00065F8A">
        <w:rPr>
          <w:sz w:val="20"/>
        </w:rPr>
        <w:t xml:space="preserve"> called </w:t>
      </w:r>
      <w:r w:rsidRPr="003701C9">
        <w:rPr>
          <w:sz w:val="20"/>
        </w:rPr>
        <w:t>Ishikawa (fishbone) dia</w:t>
      </w:r>
      <w:r>
        <w:rPr>
          <w:sz w:val="20"/>
        </w:rPr>
        <w:t>gram and risk-ranking system were</w:t>
      </w:r>
      <w:r w:rsidRPr="003701C9">
        <w:rPr>
          <w:sz w:val="20"/>
        </w:rPr>
        <w:t xml:space="preserve"> used</w:t>
      </w:r>
      <w:r w:rsidRPr="00D976FA">
        <w:rPr>
          <w:sz w:val="20"/>
        </w:rPr>
        <w:t>. On a preliminary trial and risk assessment basis,</w:t>
      </w:r>
      <w:r w:rsidRPr="00D976FA">
        <w:t xml:space="preserve"> </w:t>
      </w:r>
      <w:r>
        <w:rPr>
          <w:sz w:val="20"/>
        </w:rPr>
        <w:t>the selected</w:t>
      </w:r>
      <w:r w:rsidRPr="00D976FA">
        <w:rPr>
          <w:sz w:val="20"/>
        </w:rPr>
        <w:t xml:space="preserve"> independent variables: GMO: P407 ratio, PEG200 content, stirring temperature, stirring speed, stirring duration, mannitol: leucine ratio, inlet temperature, outlet temperature, aspirator flow rate, and cyclone design</w:t>
      </w:r>
      <w:r w:rsidR="001343A7">
        <w:rPr>
          <w:sz w:val="20"/>
        </w:rPr>
        <w:t xml:space="preserve"> </w:t>
      </w:r>
      <w:r>
        <w:rPr>
          <w:sz w:val="20"/>
        </w:rPr>
        <w:t xml:space="preserve">were screened </w:t>
      </w:r>
      <w:r w:rsidR="00065F8A">
        <w:rPr>
          <w:sz w:val="20"/>
        </w:rPr>
        <w:t>at</w:t>
      </w:r>
      <w:r w:rsidRPr="00D976FA">
        <w:rPr>
          <w:sz w:val="20"/>
        </w:rPr>
        <w:t xml:space="preserve"> their corresponding level</w:t>
      </w:r>
      <w:r>
        <w:rPr>
          <w:sz w:val="20"/>
        </w:rPr>
        <w:t xml:space="preserve">s using </w:t>
      </w:r>
      <w:r w:rsidRPr="00D976FA">
        <w:rPr>
          <w:sz w:val="20"/>
        </w:rPr>
        <w:t>statistical</w:t>
      </w:r>
      <w:r>
        <w:rPr>
          <w:sz w:val="20"/>
        </w:rPr>
        <w:t xml:space="preserve"> technique </w:t>
      </w:r>
      <w:r w:rsidRPr="00D976FA">
        <w:rPr>
          <w:rFonts w:cs="Arial"/>
          <w:sz w:val="20"/>
        </w:rPr>
        <w:t>(Taguchi design, 10 factors with 1 dummy at 2 levels).</w:t>
      </w:r>
      <w:r>
        <w:rPr>
          <w:rFonts w:cs="Arial"/>
          <w:sz w:val="20"/>
        </w:rPr>
        <w:t xml:space="preserve"> </w:t>
      </w:r>
      <w:r w:rsidR="00065F8A" w:rsidRPr="00065F8A">
        <w:rPr>
          <w:rFonts w:cs="Arial"/>
          <w:sz w:val="20"/>
        </w:rPr>
        <w:t>The Taguchi design recommended twelve different formulations, which we prepared and further evaluated using four critical quality attributes (CQAs): %DRE, AE, FPF, and yield (as listed in Table 1)</w:t>
      </w:r>
      <w:r w:rsidRPr="00C425E1">
        <w:rPr>
          <w:rFonts w:cs="Arial"/>
          <w:color w:val="000000" w:themeColor="text1"/>
          <w:sz w:val="20"/>
        </w:rPr>
        <w:t xml:space="preserve">. </w:t>
      </w:r>
      <w:r w:rsidR="002B4591" w:rsidRPr="002B4591">
        <w:rPr>
          <w:rFonts w:cs="Arial"/>
          <w:sz w:val="20"/>
        </w:rPr>
        <w:t>The process of preparing inhalable GFT-SDPP formulations occurred</w:t>
      </w:r>
      <w:r w:rsidR="002B4591">
        <w:rPr>
          <w:rFonts w:cs="Arial"/>
          <w:sz w:val="20"/>
        </w:rPr>
        <w:t xml:space="preserve"> in two steps. First, we prepared</w:t>
      </w:r>
      <w:r w:rsidR="002B4591" w:rsidRPr="002B4591">
        <w:rPr>
          <w:rFonts w:cs="Arial"/>
          <w:sz w:val="20"/>
        </w:rPr>
        <w:t xml:space="preserve"> a homogenous dispersion of gefitinib (GFT), glyceryl monooleate (GMO), poloxamer 407 (P407), PEG200 (a </w:t>
      </w:r>
      <w:proofErr w:type="spellStart"/>
      <w:r w:rsidR="002B4591" w:rsidRPr="002B4591">
        <w:rPr>
          <w:rFonts w:cs="Arial"/>
          <w:sz w:val="20"/>
        </w:rPr>
        <w:t>hydrotrope</w:t>
      </w:r>
      <w:proofErr w:type="spellEnd"/>
      <w:r w:rsidR="002B4591" w:rsidRPr="002B4591">
        <w:rPr>
          <w:rFonts w:cs="Arial"/>
          <w:sz w:val="20"/>
        </w:rPr>
        <w:t>), mannitol (the carrier), and leucine (dispersibility enhancer) in an aqueous ethanolic solution using the liquid precursor or solvent dilution method</w:t>
      </w:r>
      <w:r w:rsidRPr="007D7F66">
        <w:rPr>
          <w:rFonts w:cs="Arial"/>
          <w:sz w:val="20"/>
        </w:rPr>
        <w:t xml:space="preserve"> </w:t>
      </w:r>
      <w:r w:rsidR="00EF3DAC" w:rsidRPr="007D7F66">
        <w:rPr>
          <w:rFonts w:cs="Arial"/>
          <w:sz w:val="20"/>
        </w:rPr>
        <w:fldChar w:fldCharType="begin"/>
      </w:r>
      <w:r>
        <w:rPr>
          <w:rFonts w:cs="Arial"/>
          <w:sz w:val="20"/>
        </w:rPr>
        <w:instrText xml:space="preserve"> ADDIN EN.CITE &lt;EndNote&gt;&lt;Cite&gt;&lt;Author&gt;Rizwan&lt;/Author&gt;&lt;Year&gt;2011&lt;/Year&gt;&lt;RecNum&gt;13&lt;/RecNum&gt;&lt;DisplayText&gt;[10]&lt;/DisplayText&gt;&lt;record&gt;&lt;rec-number&gt;13&lt;/rec-number&gt;&lt;foreign-keys&gt;&lt;key app="EN" db-id="xvdptzr0i0wdeaeater5s9vtr0xzftrttdff"&gt;13&lt;/key&gt;&lt;/foreign-keys&gt;&lt;ref-type name="Journal Article"&gt;17&lt;/ref-type&gt;&lt;contributors&gt;&lt;authors&gt;&lt;author&gt;Rizwan, SB&lt;/author&gt;&lt;author&gt;Assmus, D&lt;/author&gt;&lt;author&gt;Boehnke, A&lt;/author&gt;&lt;author&gt;Hanley, Tracey&lt;/author&gt;&lt;author&gt;Boyd, BJ&lt;/author&gt;&lt;author&gt;Rades, Thomas&lt;/author&gt;&lt;author&gt;Hook, Sarah&lt;/author&gt;&lt;/authors&gt;&lt;/contributors&gt;&lt;titles&gt;&lt;title&gt;Preparation of phytantriol cubosomes by solvent precursor dilution for the delivery of protein vaccines&lt;/title&gt;&lt;secondary-title&gt;European journal of pharmaceutics and biopharmaceutics&lt;/secondary-title&gt;&lt;/titles&gt;&lt;periodical&gt;&lt;full-title&gt;European journal of pharmaceutics and biopharmaceutics&lt;/full-title&gt;&lt;/periodical&gt;&lt;pages&gt;15-22&lt;/pages&gt;&lt;volume&gt;79&lt;/volume&gt;&lt;number&gt;1&lt;/number&gt;&lt;dates&gt;&lt;year&gt;2011&lt;/year&gt;&lt;/dates&gt;&lt;isbn&gt;0939-6411&lt;/isbn&gt;&lt;urls&gt;&lt;/urls&gt;&lt;/record&gt;&lt;/Cite&gt;&lt;/EndNote&gt;</w:instrText>
      </w:r>
      <w:r w:rsidR="00EF3DAC" w:rsidRPr="007D7F66"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[</w:t>
      </w:r>
      <w:hyperlink w:anchor="_ENREF_10" w:tooltip="Rizwan, 2011 #13" w:history="1">
        <w:r>
          <w:rPr>
            <w:rFonts w:cs="Arial"/>
            <w:noProof/>
            <w:sz w:val="20"/>
          </w:rPr>
          <w:t>10</w:t>
        </w:r>
      </w:hyperlink>
      <w:r>
        <w:rPr>
          <w:rFonts w:cs="Arial"/>
          <w:noProof/>
          <w:sz w:val="20"/>
        </w:rPr>
        <w:t>]</w:t>
      </w:r>
      <w:r w:rsidR="00EF3DAC" w:rsidRPr="007D7F66">
        <w:rPr>
          <w:rFonts w:cs="Arial"/>
          <w:sz w:val="20"/>
        </w:rPr>
        <w:fldChar w:fldCharType="end"/>
      </w:r>
      <w:r>
        <w:rPr>
          <w:rFonts w:cs="Arial"/>
          <w:sz w:val="20"/>
        </w:rPr>
        <w:t>.</w:t>
      </w:r>
      <w:r w:rsidRPr="007D7F66">
        <w:rPr>
          <w:rFonts w:cs="Arial"/>
          <w:sz w:val="20"/>
        </w:rPr>
        <w:t xml:space="preserve"> </w:t>
      </w:r>
      <w:r>
        <w:rPr>
          <w:rFonts w:cs="Arial"/>
          <w:sz w:val="20"/>
        </w:rPr>
        <w:t>S</w:t>
      </w:r>
      <w:r w:rsidRPr="007D7F66">
        <w:rPr>
          <w:rFonts w:cs="Arial"/>
          <w:sz w:val="20"/>
        </w:rPr>
        <w:t xml:space="preserve">econdly, spray-dried the prepared homogenous dispersion by laboratory-scale mini spray dryer </w:t>
      </w:r>
      <w:r>
        <w:rPr>
          <w:rFonts w:cs="Arial"/>
          <w:sz w:val="20"/>
        </w:rPr>
        <w:t xml:space="preserve">(Figure 1) </w:t>
      </w:r>
      <w:r w:rsidRPr="007D7F66">
        <w:rPr>
          <w:rFonts w:cs="Arial"/>
          <w:sz w:val="20"/>
        </w:rPr>
        <w:t xml:space="preserve">apparatus </w:t>
      </w:r>
      <w:r>
        <w:rPr>
          <w:rFonts w:cs="Arial"/>
          <w:sz w:val="20"/>
        </w:rPr>
        <w:t>using</w:t>
      </w:r>
      <w:r w:rsidRPr="007D7F66">
        <w:rPr>
          <w:rFonts w:cs="Arial"/>
          <w:sz w:val="20"/>
        </w:rPr>
        <w:t xml:space="preserve"> powder precursor method as reported previously </w:t>
      </w:r>
      <w:r w:rsidR="00EF3DAC" w:rsidRPr="007D7F66">
        <w:rPr>
          <w:rFonts w:cs="Arial"/>
          <w:sz w:val="20"/>
        </w:rPr>
        <w:fldChar w:fldCharType="begin"/>
      </w:r>
      <w:r>
        <w:rPr>
          <w:rFonts w:cs="Arial"/>
          <w:sz w:val="20"/>
        </w:rPr>
        <w:instrText xml:space="preserve"> ADDIN EN.CITE &lt;EndNote&gt;&lt;Cite&gt;&lt;Author&gt;Nielsen&lt;/Author&gt;&lt;Year&gt;2017&lt;/Year&gt;&lt;RecNum&gt;460&lt;/RecNum&gt;&lt;DisplayText&gt;[11]&lt;/DisplayText&gt;&lt;record&gt;&lt;rec-number&gt;460&lt;/rec-number&gt;&lt;foreign-keys&gt;&lt;key app="EN" db-id="pesp0frvh5z0z8eex5bpsvsbtd20r9pwvs9w"&gt;460&lt;/key&gt;&lt;/foreign-keys&gt;&lt;ref-type name="Journal Article"&gt;17&lt;/ref-type&gt;&lt;contributors&gt;&lt;authors&gt;&lt;author&gt;Nielsen, Line Hagner&lt;/author&gt;&lt;author&gt;Rades, Thomas&lt;/author&gt;&lt;author&gt;Boyd, Ben&lt;/author&gt;&lt;author&gt;Boisen, Anja&lt;/author&gt;&lt;/authors&gt;&lt;/contributors&gt;&lt;titles&gt;&lt;title&gt;Microcontainers as an oral delivery system for spray dried cubosomes containing ovalbumin&lt;/title&gt;&lt;secondary-title&gt;European Journal of Pharmaceutics and Biopharmaceutics&lt;/secondary-title&gt;&lt;/titles&gt;&lt;periodical&gt;&lt;full-title&gt;European Journal of Pharmaceutics and Biopharmaceutics&lt;/full-title&gt;&lt;/periodical&gt;&lt;pages&gt;13-20&lt;/pages&gt;&lt;volume&gt;118&lt;/volume&gt;&lt;dates&gt;&lt;year&gt;2017&lt;/year&gt;&lt;/dates&gt;&lt;isbn&gt;0939-6411&lt;/isbn&gt;&lt;urls&gt;&lt;/urls&gt;&lt;/record&gt;&lt;/Cite&gt;&lt;/EndNote&gt;</w:instrText>
      </w:r>
      <w:r w:rsidR="00EF3DAC" w:rsidRPr="007D7F66"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[</w:t>
      </w:r>
      <w:hyperlink w:anchor="_ENREF_11" w:tooltip="Nielsen, 2017 #460" w:history="1">
        <w:r>
          <w:rPr>
            <w:rFonts w:cs="Arial"/>
            <w:noProof/>
            <w:sz w:val="20"/>
          </w:rPr>
          <w:t>11</w:t>
        </w:r>
      </w:hyperlink>
      <w:r>
        <w:rPr>
          <w:rFonts w:cs="Arial"/>
          <w:noProof/>
          <w:sz w:val="20"/>
        </w:rPr>
        <w:t>]</w:t>
      </w:r>
      <w:r w:rsidR="00EF3DAC" w:rsidRPr="007D7F66">
        <w:rPr>
          <w:rFonts w:cs="Arial"/>
          <w:sz w:val="20"/>
        </w:rPr>
        <w:fldChar w:fldCharType="end"/>
      </w:r>
      <w:r w:rsidRPr="007D7F66">
        <w:rPr>
          <w:rFonts w:cs="Arial"/>
          <w:sz w:val="20"/>
        </w:rPr>
        <w:t>.</w:t>
      </w:r>
      <w:r>
        <w:rPr>
          <w:rFonts w:cs="Arial"/>
          <w:sz w:val="20"/>
        </w:rPr>
        <w:t xml:space="preserve"> </w:t>
      </w:r>
      <w:r w:rsidR="00E303C2" w:rsidRPr="00E303C2">
        <w:rPr>
          <w:rFonts w:cs="Arial"/>
          <w:sz w:val="20"/>
        </w:rPr>
        <w:t>Subsequently, all the experimental spray-dried formulations underwent characterization to assess their aerosolization properties, including %DRE, AE, FPF</w:t>
      </w:r>
      <w:r w:rsidR="00E303C2" w:rsidRPr="00E303C2">
        <w:rPr>
          <w:rFonts w:cs="Arial"/>
          <w:sz w:val="20"/>
          <w:vertAlign w:val="subscript"/>
        </w:rPr>
        <w:t>TSI</w:t>
      </w:r>
      <w:r w:rsidR="00E303C2" w:rsidRPr="00E303C2">
        <w:rPr>
          <w:rFonts w:cs="Arial"/>
          <w:sz w:val="20"/>
        </w:rPr>
        <w:t xml:space="preserve">, and </w:t>
      </w:r>
      <w:r w:rsidR="00E303C2">
        <w:rPr>
          <w:rFonts w:cs="Arial"/>
          <w:sz w:val="20"/>
        </w:rPr>
        <w:t xml:space="preserve">yield of GFT-SDPP obtained after </w:t>
      </w:r>
      <w:r w:rsidR="00E303C2" w:rsidRPr="00E303C2">
        <w:rPr>
          <w:rFonts w:cs="Arial"/>
          <w:sz w:val="20"/>
        </w:rPr>
        <w:t>spray drying</w:t>
      </w:r>
      <w:r>
        <w:rPr>
          <w:rFonts w:cs="Arial"/>
          <w:sz w:val="20"/>
        </w:rPr>
        <w:t xml:space="preserve">. </w:t>
      </w:r>
      <w:r w:rsidR="00E303C2" w:rsidRPr="00E303C2">
        <w:rPr>
          <w:rFonts w:cs="Arial"/>
          <w:sz w:val="20"/>
        </w:rPr>
        <w:t>The percentages of %DRE, AE, and FPFTSI for all 12 experimental runs were determined using a specially designed glass twin-stage impinger (TSI) apparatus, following established methods</w:t>
      </w:r>
      <w:r w:rsidRPr="00DE2CAB">
        <w:rPr>
          <w:rFonts w:cs="Arial"/>
          <w:sz w:val="20"/>
        </w:rPr>
        <w:t xml:space="preserve"> </w:t>
      </w:r>
      <w:r w:rsidR="00EF3DAC" w:rsidRPr="00DE2CAB">
        <w:rPr>
          <w:rFonts w:cs="Arial"/>
          <w:sz w:val="20"/>
        </w:rPr>
        <w:fldChar w:fldCharType="begin"/>
      </w:r>
      <w:r>
        <w:rPr>
          <w:rFonts w:cs="Arial"/>
          <w:sz w:val="20"/>
        </w:rPr>
        <w:instrText xml:space="preserve"> ADDIN EN.CITE &lt;EndNote&gt;&lt;Cite&gt;&lt;Author&gt;Singh&lt;/Author&gt;&lt;Year&gt;2021&lt;/Year&gt;&lt;RecNum&gt;81&lt;/RecNum&gt;&lt;DisplayText&gt;[12, 13]&lt;/DisplayText&gt;&lt;record&gt;&lt;rec-number&gt;81&lt;/rec-number&gt;&lt;foreign-keys&gt;&lt;key app="EN" db-id="xvdptzr0i0wdeaeater5s9vtr0xzftrttdff"&gt;81&lt;/key&gt;&lt;/foreign-keys&gt;&lt;ref-type name="Journal Article"&gt;17&lt;/ref-type&gt;&lt;contributors&gt;&lt;authors&gt;&lt;author&gt;Singh, Akashdeep&lt;/author&gt;&lt;author&gt;Rana, Vikas&lt;/author&gt;&lt;/authors&gt;&lt;/contributors&gt;&lt;titles&gt;&lt;title&gt;Exploration of modified cyclone separator for the enhanced recovery of inhalable spray dried cubosomal powder intended to be used for lung delivery&lt;/title&gt;&lt;secondary-title&gt;Journal of Drug Delivery Science and Technology&lt;/secondary-title&gt;&lt;/titles&gt;&lt;pages&gt;102848&lt;/pages&gt;&lt;volume&gt;66&lt;/volume&gt;&lt;dates&gt;&lt;year&gt;2021&lt;/year&gt;&lt;/dates&gt;&lt;isbn&gt;1773-2247&lt;/isbn&gt;&lt;urls&gt;&lt;/urls&gt;&lt;/record&gt;&lt;/Cite&gt;&lt;Cite&gt;&lt;Author&gt;Commission&lt;/Author&gt;&lt;Year&gt;2007&lt;/Year&gt;&lt;RecNum&gt;128&lt;/RecNum&gt;&lt;record&gt;&lt;rec-number&gt;128&lt;/rec-number&gt;&lt;foreign-keys&gt;&lt;key app="EN" db-id="xvdptzr0i0wdeaeater5s9vtr0xzftrttdff"&gt;128&lt;/key&gt;&lt;/foreign-keys&gt;&lt;ref-type name="Generic"&gt;13&lt;/ref-type&gt;&lt;contributors&gt;&lt;authors&gt;&lt;author&gt;Indian Pharmacopoeia Commission&lt;/author&gt;&lt;/authors&gt;&lt;/contributors&gt;&lt;titles&gt;&lt;title&gt;Indian Pharmacopoeia 2007&lt;/title&gt;&lt;/titles&gt;&lt;dates&gt;&lt;year&gt;2007&lt;/year&gt;&lt;/dates&gt;&lt;publisher&gt;Indian Pharmacopoeia Commission&lt;/publisher&gt;&lt;urls&gt;&lt;/urls&gt;&lt;/record&gt;&lt;/Cite&gt;&lt;/EndNote&gt;</w:instrText>
      </w:r>
      <w:r w:rsidR="00EF3DAC" w:rsidRPr="00DE2CAB"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[</w:t>
      </w:r>
      <w:hyperlink w:anchor="_ENREF_12" w:tooltip="Singh, 2021 #81" w:history="1">
        <w:r>
          <w:rPr>
            <w:rFonts w:cs="Arial"/>
            <w:noProof/>
            <w:sz w:val="20"/>
          </w:rPr>
          <w:t>12</w:t>
        </w:r>
      </w:hyperlink>
      <w:r>
        <w:rPr>
          <w:rFonts w:cs="Arial"/>
          <w:noProof/>
          <w:sz w:val="20"/>
        </w:rPr>
        <w:t xml:space="preserve">, </w:t>
      </w:r>
      <w:hyperlink w:anchor="_ENREF_13" w:tooltip="Commission, 2007 #128" w:history="1">
        <w:r>
          <w:rPr>
            <w:rFonts w:cs="Arial"/>
            <w:noProof/>
            <w:sz w:val="20"/>
          </w:rPr>
          <w:t>13</w:t>
        </w:r>
      </w:hyperlink>
      <w:r>
        <w:rPr>
          <w:rFonts w:cs="Arial"/>
          <w:noProof/>
          <w:sz w:val="20"/>
        </w:rPr>
        <w:t>]</w:t>
      </w:r>
      <w:r w:rsidR="00EF3DAC" w:rsidRPr="00DE2CAB">
        <w:rPr>
          <w:rFonts w:cs="Arial"/>
          <w:sz w:val="20"/>
        </w:rPr>
        <w:fldChar w:fldCharType="end"/>
      </w:r>
      <w:r w:rsidRPr="00DE2CAB">
        <w:rPr>
          <w:rFonts w:cs="Arial"/>
          <w:sz w:val="20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7C1C">
        <w:rPr>
          <w:rFonts w:cs="Arial"/>
          <w:sz w:val="20"/>
        </w:rPr>
        <w:t>T</w:t>
      </w:r>
      <w:r w:rsidR="00E303C2">
        <w:rPr>
          <w:rFonts w:cs="Arial"/>
          <w:sz w:val="20"/>
        </w:rPr>
        <w:t>he collected data from various</w:t>
      </w:r>
      <w:r w:rsidRPr="00E57C1C">
        <w:rPr>
          <w:rFonts w:cs="Arial"/>
          <w:sz w:val="20"/>
        </w:rPr>
        <w:t xml:space="preserve"> trials were evaluated by analysis</w:t>
      </w:r>
      <w:r>
        <w:rPr>
          <w:rFonts w:cs="Arial"/>
          <w:sz w:val="20"/>
        </w:rPr>
        <w:t xml:space="preserve"> of variance (ANOVA) and desirability function </w:t>
      </w:r>
      <w:r w:rsidRPr="00E57C1C">
        <w:rPr>
          <w:rFonts w:cs="Arial"/>
          <w:sz w:val="20"/>
        </w:rPr>
        <w:t>using Taguchi orthogonal array design</w:t>
      </w:r>
      <w:r>
        <w:rPr>
          <w:rFonts w:cs="Arial"/>
          <w:sz w:val="20"/>
        </w:rPr>
        <w:t xml:space="preserve"> </w:t>
      </w:r>
      <w:r w:rsidR="00EF3DAC" w:rsidRPr="00E57C1C">
        <w:rPr>
          <w:rFonts w:cs="Arial"/>
          <w:sz w:val="20"/>
        </w:rPr>
        <w:fldChar w:fldCharType="begin"/>
      </w:r>
      <w:r>
        <w:rPr>
          <w:rFonts w:cs="Arial"/>
          <w:sz w:val="20"/>
        </w:rPr>
        <w:instrText xml:space="preserve"> ADDIN EN.CITE &lt;EndNote&gt;&lt;Cite&gt;&lt;Author&gt;González</w:instrText>
      </w:r>
      <w:r>
        <w:rPr>
          <w:rFonts w:ascii="Cambria Math" w:hAnsi="Cambria Math" w:cs="Cambria Math"/>
          <w:sz w:val="20"/>
        </w:rPr>
        <w:instrText>‐</w:instrText>
      </w:r>
      <w:r>
        <w:rPr>
          <w:rFonts w:cs="Arial"/>
          <w:sz w:val="20"/>
        </w:rPr>
        <w:instrText>rodríguez&lt;/Author&gt;&lt;Year&gt;2012&lt;/Year&gt;&lt;RecNum&gt;312&lt;/RecNum&gt;&lt;DisplayText&gt;[14]&lt;/DisplayText&gt;&lt;record&gt;&lt;rec-number&gt;312&lt;/rec-number&gt;&lt;foreign-keys&gt;&lt;key app="EN" db-id="pesp0frvh5z0z8eex5bpsvsbtd20r9pwvs9w"&gt;312&lt;/key&gt;&lt;/foreign-keys&gt;&lt;ref-type name="Journal Article"&gt;17&lt;/ref-type&gt;&lt;contributors&gt;&lt;authors&gt;&lt;author&gt;González</w:instrText>
      </w:r>
      <w:r>
        <w:rPr>
          <w:rFonts w:ascii="Cambria Math" w:hAnsi="Cambria Math" w:cs="Cambria Math"/>
          <w:sz w:val="20"/>
        </w:rPr>
        <w:instrText>‐</w:instrText>
      </w:r>
      <w:r>
        <w:rPr>
          <w:rFonts w:cs="Arial"/>
          <w:sz w:val="20"/>
        </w:rPr>
        <w:instrText>rodríguez, Maria Luisa&lt;/author&gt;&lt;author&gt;Mouram, Imane&lt;/author&gt;&lt;author&gt;Cózar</w:instrText>
      </w:r>
      <w:r>
        <w:rPr>
          <w:rFonts w:ascii="Cambria Math" w:hAnsi="Cambria Math" w:cs="Cambria Math"/>
          <w:sz w:val="20"/>
        </w:rPr>
        <w:instrText>‐</w:instrText>
      </w:r>
      <w:r>
        <w:rPr>
          <w:rFonts w:cs="Arial"/>
          <w:sz w:val="20"/>
        </w:rPr>
        <w:instrText>bernal, Ma Jose&lt;/author&gt;&lt;author&gt;Villasmil, Sheila&lt;/author&gt;&lt;author&gt;Rabasco, Antonio M&lt;/author&gt;&lt;/authors&gt;&lt;/contributors&gt;&lt;titles&gt;&lt;title&gt;Applying the taguchi method to optimize sumatriptan succinate niosomes as drug carriers for skin delivery&lt;/title&gt;&lt;secondary-title&gt;Journal of pharmaceutical sciences&lt;/secondary-title&gt;&lt;/titles&gt;&lt;periodical&gt;&lt;full-title&gt;Journal of pharmaceutical sciences&lt;/full-title&gt;&lt;/periodical&gt;&lt;pages&gt;3845-3863&lt;/pages&gt;&lt;volume&gt;101&lt;/volume&gt;&lt;number&gt;10&lt;/number&gt;&lt;dates&gt;&lt;year&gt;2012&lt;/year&gt;&lt;/dates&gt;&lt;isbn&gt;0022-3549&lt;/isbn&gt;&lt;urls&gt;&lt;/urls&gt;&lt;/record&gt;&lt;/Cite&gt;&lt;/EndNote&gt;</w:instrText>
      </w:r>
      <w:r w:rsidR="00EF3DAC" w:rsidRPr="00E57C1C"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[</w:t>
      </w:r>
      <w:hyperlink w:anchor="_ENREF_14" w:tooltip="González‐rodríguez, 2012 #312" w:history="1">
        <w:r>
          <w:rPr>
            <w:rFonts w:cs="Arial"/>
            <w:noProof/>
            <w:sz w:val="20"/>
          </w:rPr>
          <w:t>14</w:t>
        </w:r>
      </w:hyperlink>
      <w:r>
        <w:rPr>
          <w:rFonts w:cs="Arial"/>
          <w:noProof/>
          <w:sz w:val="20"/>
        </w:rPr>
        <w:t>]</w:t>
      </w:r>
      <w:r w:rsidR="00EF3DAC" w:rsidRPr="00E57C1C">
        <w:rPr>
          <w:rFonts w:cs="Arial"/>
          <w:sz w:val="20"/>
        </w:rPr>
        <w:fldChar w:fldCharType="end"/>
      </w:r>
      <w:r w:rsidRPr="00E57C1C">
        <w:rPr>
          <w:rFonts w:cs="Arial"/>
          <w:sz w:val="20"/>
        </w:rPr>
        <w:t>.</w:t>
      </w:r>
      <w:r w:rsidRPr="006D70A8">
        <w:t xml:space="preserve"> </w:t>
      </w:r>
      <w:r w:rsidR="00E303C2" w:rsidRPr="00E303C2">
        <w:rPr>
          <w:rFonts w:cs="Arial"/>
          <w:sz w:val="20"/>
        </w:rPr>
        <w:t>Finally, the optimized formulation underwent further characterization, including the assessment of fine particle fraction (FPF</w:t>
      </w:r>
      <w:r w:rsidR="00E303C2" w:rsidRPr="00E303C2">
        <w:rPr>
          <w:rFonts w:cs="Arial"/>
          <w:sz w:val="20"/>
          <w:vertAlign w:val="subscript"/>
        </w:rPr>
        <w:t>ACI</w:t>
      </w:r>
      <w:r w:rsidR="00E303C2" w:rsidRPr="00E303C2">
        <w:rPr>
          <w:rFonts w:cs="Arial"/>
          <w:sz w:val="20"/>
        </w:rPr>
        <w:t>) using an Anderson Cascade Impactor and an evaluation of its in-vitro release profile in simulated lung fluids, specifically artificial lysosomal fluid (pH 4.5) and Gamble solution (pH 7.4)</w:t>
      </w:r>
      <w:r w:rsidR="00E303C2">
        <w:rPr>
          <w:rFonts w:cs="Arial"/>
          <w:sz w:val="20"/>
        </w:rPr>
        <w:t xml:space="preserve"> in comparison to pure drug (GFT)</w:t>
      </w:r>
      <w:r>
        <w:rPr>
          <w:rFonts w:cs="Arial"/>
          <w:sz w:val="20"/>
        </w:rPr>
        <w:t>.</w:t>
      </w:r>
    </w:p>
    <w:p w14:paraId="4C7390E3" w14:textId="77777777" w:rsidR="00D90E05" w:rsidRDefault="00D90E05" w:rsidP="00B220B8">
      <w:pPr>
        <w:pStyle w:val="DDLBodyText"/>
        <w:spacing w:after="0"/>
        <w:rPr>
          <w:rFonts w:cs="Arial"/>
          <w:b/>
          <w:sz w:val="20"/>
        </w:rPr>
      </w:pPr>
      <w:r w:rsidRPr="000E68C7">
        <w:rPr>
          <w:rFonts w:cs="Arial"/>
          <w:b/>
          <w:sz w:val="20"/>
        </w:rPr>
        <w:t>Results</w:t>
      </w:r>
    </w:p>
    <w:p w14:paraId="088A22D8" w14:textId="77777777" w:rsidR="00D90E05" w:rsidRPr="00C944FB" w:rsidRDefault="00D90E05" w:rsidP="00D90E05">
      <w:pPr>
        <w:spacing w:after="120"/>
        <w:rPr>
          <w:rFonts w:cs="Arial"/>
          <w:i/>
          <w:sz w:val="20"/>
        </w:rPr>
      </w:pPr>
      <w:r w:rsidRPr="00453406">
        <w:rPr>
          <w:rFonts w:cs="Arial"/>
          <w:sz w:val="20"/>
        </w:rPr>
        <w:t>After assessing formulation parameters and process parameters</w:t>
      </w:r>
      <w:r>
        <w:rPr>
          <w:rFonts w:cs="Arial"/>
          <w:sz w:val="20"/>
        </w:rPr>
        <w:t>,</w:t>
      </w:r>
      <w:r w:rsidRPr="00453406">
        <w:rPr>
          <w:rFonts w:cs="Arial"/>
          <w:sz w:val="20"/>
        </w:rPr>
        <w:t xml:space="preserve"> including cyclone design parameter</w:t>
      </w:r>
      <w:r>
        <w:rPr>
          <w:rFonts w:cs="Arial"/>
          <w:sz w:val="20"/>
        </w:rPr>
        <w:t>,</w:t>
      </w:r>
      <w:r w:rsidRPr="00453406">
        <w:rPr>
          <w:rFonts w:cs="Arial"/>
          <w:sz w:val="20"/>
        </w:rPr>
        <w:t xml:space="preserve"> employing a qualitative risk evaluation approach, the different </w:t>
      </w:r>
      <w:r w:rsidR="001D037C">
        <w:rPr>
          <w:rFonts w:cs="Arial"/>
          <w:sz w:val="20"/>
        </w:rPr>
        <w:t xml:space="preserve">GFT-SDPP </w:t>
      </w:r>
      <w:r w:rsidRPr="00453406">
        <w:rPr>
          <w:rFonts w:cs="Arial"/>
          <w:sz w:val="20"/>
        </w:rPr>
        <w:t xml:space="preserve">formulations were prepared </w:t>
      </w:r>
      <w:r>
        <w:rPr>
          <w:rFonts w:cs="Arial"/>
          <w:sz w:val="20"/>
        </w:rPr>
        <w:t>using a Taguchi design as suggested by Design E</w:t>
      </w:r>
      <w:r w:rsidRPr="00453406">
        <w:rPr>
          <w:rFonts w:cs="Arial"/>
          <w:sz w:val="20"/>
        </w:rPr>
        <w:t>xpert 11 software</w:t>
      </w:r>
      <w:r>
        <w:rPr>
          <w:rFonts w:cs="Arial"/>
          <w:sz w:val="20"/>
        </w:rPr>
        <w:t>.</w:t>
      </w:r>
      <w:r w:rsidRPr="00453406">
        <w:t xml:space="preserve"> </w:t>
      </w:r>
      <w:r w:rsidRPr="00453406">
        <w:rPr>
          <w:rFonts w:cs="Arial"/>
          <w:sz w:val="20"/>
        </w:rPr>
        <w:t>The</w:t>
      </w:r>
      <w:r>
        <w:rPr>
          <w:rFonts w:cs="Arial"/>
          <w:sz w:val="20"/>
        </w:rPr>
        <w:t xml:space="preserve"> effect of independent parameters on the dependent parameters or CQAs</w:t>
      </w:r>
      <w:r w:rsidRPr="00453406">
        <w:rPr>
          <w:rFonts w:cs="Arial"/>
          <w:sz w:val="20"/>
        </w:rPr>
        <w:t xml:space="preserve"> (%DRE, AE, FPF, and Yield) was evaluated</w:t>
      </w:r>
      <w:r>
        <w:rPr>
          <w:rFonts w:cs="Arial"/>
          <w:sz w:val="20"/>
        </w:rPr>
        <w:t>,</w:t>
      </w:r>
      <w:r w:rsidRPr="00453406">
        <w:rPr>
          <w:rFonts w:cs="Arial"/>
          <w:sz w:val="20"/>
        </w:rPr>
        <w:t xml:space="preserve"> and the results obtain</w:t>
      </w:r>
      <w:r>
        <w:rPr>
          <w:rFonts w:cs="Arial"/>
          <w:sz w:val="20"/>
        </w:rPr>
        <w:t>ed are summarized in Table 1</w:t>
      </w:r>
      <w:r w:rsidR="00852DF6">
        <w:rPr>
          <w:rFonts w:cs="Arial"/>
          <w:sz w:val="20"/>
        </w:rPr>
        <w:t xml:space="preserve">. </w:t>
      </w:r>
      <w:r w:rsidRPr="00453406">
        <w:rPr>
          <w:rFonts w:cs="Arial"/>
          <w:sz w:val="20"/>
        </w:rPr>
        <w:t>The ANOV</w:t>
      </w:r>
      <w:r w:rsidR="00941F65">
        <w:rPr>
          <w:rFonts w:cs="Arial"/>
          <w:sz w:val="20"/>
        </w:rPr>
        <w:t>A was performed to assess</w:t>
      </w:r>
      <w:r w:rsidRPr="00453406">
        <w:rPr>
          <w:rFonts w:cs="Arial"/>
          <w:sz w:val="20"/>
        </w:rPr>
        <w:t xml:space="preserve"> the variation in </w:t>
      </w:r>
      <w:r w:rsidR="00941F65">
        <w:rPr>
          <w:rFonts w:cs="Arial"/>
          <w:sz w:val="20"/>
        </w:rPr>
        <w:t>the experimental runs and determined</w:t>
      </w:r>
      <w:r w:rsidRPr="00453406">
        <w:rPr>
          <w:rFonts w:cs="Arial"/>
          <w:sz w:val="20"/>
        </w:rPr>
        <w:t xml:space="preserve"> the coefficients of each in</w:t>
      </w:r>
      <w:r>
        <w:rPr>
          <w:rFonts w:cs="Arial"/>
          <w:sz w:val="20"/>
        </w:rPr>
        <w:t xml:space="preserve">dependent </w:t>
      </w:r>
      <w:r w:rsidRPr="00C944FB">
        <w:rPr>
          <w:rFonts w:cs="Arial"/>
          <w:sz w:val="20"/>
        </w:rPr>
        <w:t xml:space="preserve">variable. </w:t>
      </w:r>
      <w:r w:rsidR="00BA18EA" w:rsidRPr="00BA18EA">
        <w:rPr>
          <w:rFonts w:cs="Arial"/>
          <w:sz w:val="20"/>
        </w:rPr>
        <w:t>The Sum of Square values for each parameter was then used to calculate the percentage contribution (PC) of each parame</w:t>
      </w:r>
      <w:r w:rsidR="00BA18EA">
        <w:rPr>
          <w:rFonts w:cs="Arial"/>
          <w:sz w:val="20"/>
        </w:rPr>
        <w:t xml:space="preserve">ter to the individual response. </w:t>
      </w:r>
      <w:r w:rsidR="00BA18EA" w:rsidRPr="00BA18EA">
        <w:rPr>
          <w:rFonts w:cs="Arial"/>
          <w:sz w:val="20"/>
        </w:rPr>
        <w:t>This analysis revealed that for %DRE and Yield, cyclone design (X10) had the most significant influence, with the order of % contribution being X10</w:t>
      </w:r>
      <w:r w:rsidR="00BA18EA">
        <w:rPr>
          <w:rFonts w:cs="Arial"/>
          <w:sz w:val="20"/>
        </w:rPr>
        <w:t>(Cyclone design) &gt;</w:t>
      </w:r>
      <w:r w:rsidR="001F3993">
        <w:rPr>
          <w:rFonts w:cs="Arial"/>
          <w:sz w:val="20"/>
        </w:rPr>
        <w:t xml:space="preserve"> </w:t>
      </w:r>
      <w:r w:rsidR="00BA18EA" w:rsidRPr="00BA18EA">
        <w:rPr>
          <w:rFonts w:cs="Arial"/>
          <w:sz w:val="20"/>
        </w:rPr>
        <w:t>X7</w:t>
      </w:r>
      <w:r w:rsidR="00BA18EA">
        <w:rPr>
          <w:rFonts w:cs="Arial"/>
          <w:sz w:val="20"/>
        </w:rPr>
        <w:t>(inlet temp) &gt;</w:t>
      </w:r>
      <w:r w:rsidR="001F3993">
        <w:rPr>
          <w:rFonts w:cs="Arial"/>
          <w:sz w:val="20"/>
        </w:rPr>
        <w:t xml:space="preserve"> </w:t>
      </w:r>
      <w:r w:rsidR="00BA18EA" w:rsidRPr="00BA18EA">
        <w:rPr>
          <w:rFonts w:cs="Arial"/>
          <w:sz w:val="20"/>
        </w:rPr>
        <w:t>X2</w:t>
      </w:r>
      <w:r w:rsidR="00BA18EA">
        <w:rPr>
          <w:rFonts w:cs="Arial"/>
          <w:sz w:val="20"/>
        </w:rPr>
        <w:t>(PEG200)</w:t>
      </w:r>
      <w:r w:rsidR="001F3993">
        <w:rPr>
          <w:rFonts w:cs="Arial"/>
          <w:sz w:val="20"/>
        </w:rPr>
        <w:t xml:space="preserve"> &gt; X6(Mannitol: Leucine) &gt; X1(GMO: P407) </w:t>
      </w:r>
      <w:r w:rsidR="00BA18EA" w:rsidRPr="00BA18EA">
        <w:rPr>
          <w:rFonts w:cs="Arial"/>
          <w:sz w:val="20"/>
        </w:rPr>
        <w:t>&gt; X9</w:t>
      </w:r>
      <w:r w:rsidR="001F3993" w:rsidRPr="001F3993">
        <w:rPr>
          <w:rFonts w:cs="Arial"/>
          <w:sz w:val="20"/>
        </w:rPr>
        <w:t>(Aspirator flow rate)</w:t>
      </w:r>
      <w:r w:rsidR="00BA18EA" w:rsidRPr="00BA18EA">
        <w:rPr>
          <w:rFonts w:cs="Arial"/>
          <w:sz w:val="20"/>
        </w:rPr>
        <w:t xml:space="preserve"> &gt; X4</w:t>
      </w:r>
      <w:r w:rsidR="001F3993">
        <w:rPr>
          <w:rFonts w:cs="Arial"/>
          <w:sz w:val="20"/>
        </w:rPr>
        <w:t>(</w:t>
      </w:r>
      <w:r w:rsidR="001F3993" w:rsidRPr="001F3993">
        <w:rPr>
          <w:rFonts w:cs="Arial"/>
          <w:sz w:val="20"/>
        </w:rPr>
        <w:t>Stirring speed</w:t>
      </w:r>
      <w:r w:rsidR="001F3993">
        <w:rPr>
          <w:rFonts w:cs="Arial"/>
          <w:sz w:val="20"/>
        </w:rPr>
        <w:t>)</w:t>
      </w:r>
      <w:r w:rsidR="00BA18EA" w:rsidRPr="00BA18EA">
        <w:rPr>
          <w:rFonts w:cs="Arial"/>
          <w:sz w:val="20"/>
        </w:rPr>
        <w:t xml:space="preserve"> &gt; X3</w:t>
      </w:r>
      <w:r w:rsidR="001F3993">
        <w:rPr>
          <w:rFonts w:cs="Arial"/>
          <w:sz w:val="20"/>
        </w:rPr>
        <w:t>(</w:t>
      </w:r>
      <w:r w:rsidR="001F3993" w:rsidRPr="001F3993">
        <w:rPr>
          <w:rFonts w:cs="Arial"/>
          <w:sz w:val="20"/>
        </w:rPr>
        <w:t>Stirring Temp</w:t>
      </w:r>
      <w:r w:rsidR="001F3993">
        <w:rPr>
          <w:rFonts w:cs="Arial"/>
          <w:sz w:val="20"/>
        </w:rPr>
        <w:t>)</w:t>
      </w:r>
      <w:r w:rsidR="00BA18EA" w:rsidRPr="00BA18EA">
        <w:rPr>
          <w:rFonts w:cs="Arial"/>
          <w:sz w:val="20"/>
        </w:rPr>
        <w:t xml:space="preserve"> &gt; X5</w:t>
      </w:r>
      <w:r w:rsidR="001F3993">
        <w:rPr>
          <w:rFonts w:cs="Arial"/>
          <w:sz w:val="20"/>
        </w:rPr>
        <w:t>(</w:t>
      </w:r>
      <w:r w:rsidR="001F3993" w:rsidRPr="001F3993">
        <w:rPr>
          <w:rFonts w:cs="Arial"/>
          <w:sz w:val="20"/>
        </w:rPr>
        <w:t>Stirring duration</w:t>
      </w:r>
      <w:r w:rsidR="001F3993">
        <w:rPr>
          <w:rFonts w:cs="Arial"/>
          <w:sz w:val="20"/>
        </w:rPr>
        <w:t>)</w:t>
      </w:r>
      <w:r w:rsidR="00BA18EA" w:rsidRPr="00BA18EA">
        <w:rPr>
          <w:rFonts w:cs="Arial"/>
          <w:sz w:val="20"/>
        </w:rPr>
        <w:t xml:space="preserve"> &gt; X8</w:t>
      </w:r>
      <w:r w:rsidR="001F3993">
        <w:rPr>
          <w:rFonts w:cs="Arial"/>
          <w:sz w:val="20"/>
        </w:rPr>
        <w:t>(Outlet T</w:t>
      </w:r>
      <w:r w:rsidR="001F3993" w:rsidRPr="001F3993">
        <w:rPr>
          <w:rFonts w:cs="Arial"/>
          <w:sz w:val="20"/>
        </w:rPr>
        <w:t>em</w:t>
      </w:r>
      <w:r w:rsidR="001F3993">
        <w:rPr>
          <w:rFonts w:cs="Arial"/>
          <w:sz w:val="20"/>
        </w:rPr>
        <w:t>p)</w:t>
      </w:r>
      <w:r w:rsidR="00BA18EA" w:rsidRPr="00BA18EA">
        <w:rPr>
          <w:rFonts w:cs="Arial"/>
          <w:sz w:val="20"/>
        </w:rPr>
        <w:t xml:space="preserve"> &gt; X11</w:t>
      </w:r>
      <w:r w:rsidR="001F3993">
        <w:rPr>
          <w:rFonts w:cs="Arial"/>
          <w:sz w:val="20"/>
        </w:rPr>
        <w:t>(Dummy)</w:t>
      </w:r>
      <w:r w:rsidR="00BA18EA" w:rsidRPr="00BA18EA">
        <w:rPr>
          <w:rFonts w:cs="Arial"/>
          <w:sz w:val="20"/>
        </w:rPr>
        <w:t xml:space="preserve"> and X10 &gt; X8 &gt; X9 &gt; X7 &gt; X3 &gt; X2 &gt; X5 &gt; X4 &gt; X6 &gt;</w:t>
      </w:r>
      <w:r w:rsidR="00BA18EA">
        <w:rPr>
          <w:rFonts w:cs="Arial"/>
          <w:sz w:val="20"/>
        </w:rPr>
        <w:t xml:space="preserve"> X1 &gt; X11, respectively</w:t>
      </w:r>
      <w:r w:rsidRPr="00C944FB">
        <w:rPr>
          <w:rFonts w:cs="Arial"/>
          <w:sz w:val="20"/>
        </w:rPr>
        <w:t xml:space="preserve">. </w:t>
      </w:r>
      <w:r w:rsidR="00BA18EA" w:rsidRPr="00BA18EA">
        <w:rPr>
          <w:rFonts w:cs="Arial"/>
          <w:sz w:val="20"/>
        </w:rPr>
        <w:t xml:space="preserve">On the other hand, for </w:t>
      </w:r>
      <w:r w:rsidR="00BA18EA">
        <w:rPr>
          <w:rFonts w:cs="Arial"/>
          <w:sz w:val="20"/>
        </w:rPr>
        <w:t>%</w:t>
      </w:r>
      <w:r w:rsidR="00BA18EA" w:rsidRPr="00BA18EA">
        <w:rPr>
          <w:rFonts w:cs="Arial"/>
          <w:sz w:val="20"/>
        </w:rPr>
        <w:t>AE and FPF, the formulation parameter</w:t>
      </w:r>
      <w:r w:rsidR="00BA18EA">
        <w:rPr>
          <w:rFonts w:cs="Arial"/>
          <w:sz w:val="20"/>
        </w:rPr>
        <w:t>,</w:t>
      </w:r>
      <w:r w:rsidR="00BA18EA" w:rsidRPr="00BA18EA">
        <w:rPr>
          <w:rFonts w:cs="Arial"/>
          <w:sz w:val="20"/>
        </w:rPr>
        <w:t xml:space="preserve"> Mannitol: Leucine (X6) </w:t>
      </w:r>
      <w:r w:rsidR="00BA18EA">
        <w:rPr>
          <w:rFonts w:cs="Arial"/>
          <w:sz w:val="20"/>
        </w:rPr>
        <w:t xml:space="preserve">and process parameter inlet temperature (X7) </w:t>
      </w:r>
      <w:r w:rsidR="00BA18EA" w:rsidRPr="00BA18EA">
        <w:rPr>
          <w:rFonts w:cs="Arial"/>
          <w:sz w:val="20"/>
        </w:rPr>
        <w:t>played a substantial role in enhancing AE% and FPF%, with the order of % contribution being X6 &gt; X3 &gt; X8 &gt; X1 &gt; X9 &gt; X7 &gt; X5 &gt; X4 &gt; X10 &gt; X11 &gt; X2 and X7 &gt; X6 &gt; X2 &gt; X3 &gt; X1 &gt; X5 &gt; X4 &gt; X9 &gt; X8 &gt; X10 &gt; X11, respectively</w:t>
      </w:r>
      <w:r w:rsidR="00BA18EA">
        <w:rPr>
          <w:rFonts w:cs="Arial"/>
          <w:sz w:val="20"/>
        </w:rPr>
        <w:t xml:space="preserve"> (Figure 1)</w:t>
      </w:r>
      <w:r w:rsidRPr="00C944FB">
        <w:rPr>
          <w:rFonts w:cs="Arial"/>
          <w:sz w:val="20"/>
        </w:rPr>
        <w:t>.</w:t>
      </w:r>
      <w:r w:rsidRPr="00F33CDD">
        <w:t xml:space="preserve"> </w:t>
      </w:r>
      <w:r w:rsidR="001D2E7A" w:rsidRPr="001D2E7A">
        <w:rPr>
          <w:rFonts w:cs="Arial"/>
          <w:sz w:val="20"/>
        </w:rPr>
        <w:t>Following this analysis, numerical optimization was applied to determine the predicted optimal values for formulation, process, and cyclone design parameters</w:t>
      </w:r>
      <w:r w:rsidRPr="00F33CDD">
        <w:rPr>
          <w:rFonts w:cs="Arial"/>
          <w:sz w:val="20"/>
        </w:rPr>
        <w:t xml:space="preserve">. </w:t>
      </w:r>
      <w:r w:rsidR="00AA2DED" w:rsidRPr="00AA2DED">
        <w:rPr>
          <w:rFonts w:cs="Arial"/>
          <w:sz w:val="20"/>
        </w:rPr>
        <w:t>A spray-dried formulation batch was then prepared based on these predicted optimal conditions and subsequently evaluated. The predicted values closely matched the observed value</w:t>
      </w:r>
      <w:r w:rsidR="00AA2DED">
        <w:rPr>
          <w:rFonts w:cs="Arial"/>
          <w:sz w:val="20"/>
        </w:rPr>
        <w:t xml:space="preserve">s for %DRE, AE, FPF, and Yield </w:t>
      </w:r>
      <w:r>
        <w:rPr>
          <w:rFonts w:cs="Arial"/>
          <w:sz w:val="20"/>
        </w:rPr>
        <w:t>(Table 2)</w:t>
      </w:r>
      <w:r w:rsidRPr="00F33CDD">
        <w:rPr>
          <w:rFonts w:cs="Arial"/>
          <w:sz w:val="20"/>
        </w:rPr>
        <w:t>.</w:t>
      </w:r>
      <w:r>
        <w:rPr>
          <w:rFonts w:cs="Arial"/>
          <w:sz w:val="20"/>
        </w:rPr>
        <w:t xml:space="preserve"> </w:t>
      </w:r>
      <w:r w:rsidR="00AA2DED">
        <w:rPr>
          <w:rFonts w:cs="Arial"/>
          <w:sz w:val="20"/>
        </w:rPr>
        <w:t xml:space="preserve">Furthermore, </w:t>
      </w:r>
      <w:r w:rsidR="00AA2DED" w:rsidRPr="00AA2DED">
        <w:rPr>
          <w:rFonts w:cs="Arial"/>
          <w:sz w:val="20"/>
        </w:rPr>
        <w:t>scanning electron microscope (SEM) images of the optimized formulation revealed smooth spherical structures with no apparent presence of GFT's characteristic large plate-shaped crystals. This confirmed the successful encapsulation of GFT within the lipid (GMO) and carrier particles (mannitol: leucine)</w:t>
      </w:r>
      <w:r>
        <w:rPr>
          <w:rFonts w:cs="Arial"/>
          <w:sz w:val="20"/>
        </w:rPr>
        <w:t xml:space="preserve">. </w:t>
      </w:r>
      <w:r w:rsidR="00AA2DED" w:rsidRPr="00AA2DED">
        <w:rPr>
          <w:rFonts w:cs="Arial"/>
          <w:sz w:val="20"/>
        </w:rPr>
        <w:t>In addition, in-vitro release s</w:t>
      </w:r>
      <w:r w:rsidR="006222EB">
        <w:rPr>
          <w:rFonts w:cs="Arial"/>
          <w:sz w:val="20"/>
        </w:rPr>
        <w:t>tudies demonstrated improved GFT</w:t>
      </w:r>
      <w:r w:rsidR="00AA2DED" w:rsidRPr="00AA2DED">
        <w:rPr>
          <w:rFonts w:cs="Arial"/>
          <w:sz w:val="20"/>
        </w:rPr>
        <w:t xml:space="preserve"> dissolution with a sustained release profile </w:t>
      </w:r>
      <w:r w:rsidR="00E60959">
        <w:rPr>
          <w:rFonts w:cs="Arial"/>
          <w:sz w:val="20"/>
        </w:rPr>
        <w:t xml:space="preserve">from inhalable GFT-SDPP </w:t>
      </w:r>
      <w:r w:rsidR="00AA2DED" w:rsidRPr="00AA2DED">
        <w:rPr>
          <w:rFonts w:cs="Arial"/>
          <w:sz w:val="20"/>
        </w:rPr>
        <w:t>at both simulated lung fluid</w:t>
      </w:r>
      <w:r w:rsidR="00E60959">
        <w:rPr>
          <w:rFonts w:cs="Arial"/>
          <w:sz w:val="20"/>
        </w:rPr>
        <w:t xml:space="preserve">s </w:t>
      </w:r>
      <w:r w:rsidR="008A42FB">
        <w:rPr>
          <w:rFonts w:cs="Arial"/>
          <w:sz w:val="20"/>
        </w:rPr>
        <w:t>compared to pure GFT</w:t>
      </w:r>
      <w:r w:rsidR="00AA2DED" w:rsidRPr="00AA2DED">
        <w:rPr>
          <w:rFonts w:cs="Arial"/>
          <w:sz w:val="20"/>
        </w:rPr>
        <w:t xml:space="preserve"> </w:t>
      </w:r>
      <w:r w:rsidR="00E60959">
        <w:rPr>
          <w:rFonts w:cs="Arial"/>
          <w:sz w:val="20"/>
        </w:rPr>
        <w:t>(</w:t>
      </w:r>
      <w:r w:rsidR="00AA2DED" w:rsidRPr="00AA2DED">
        <w:rPr>
          <w:rFonts w:cs="Arial"/>
          <w:sz w:val="20"/>
        </w:rPr>
        <w:t>Figure 1</w:t>
      </w:r>
      <w:r w:rsidR="00E60959">
        <w:rPr>
          <w:rFonts w:cs="Arial"/>
          <w:sz w:val="20"/>
        </w:rPr>
        <w:t>)</w:t>
      </w:r>
      <w:r>
        <w:rPr>
          <w:rFonts w:cs="Arial"/>
          <w:sz w:val="20"/>
        </w:rPr>
        <w:t>.</w:t>
      </w:r>
    </w:p>
    <w:p w14:paraId="36676BCC" w14:textId="77777777" w:rsidR="00D90E05" w:rsidRDefault="00D90E05" w:rsidP="00B220B8">
      <w:pPr>
        <w:pStyle w:val="DDLBodyText"/>
        <w:spacing w:after="0"/>
        <w:rPr>
          <w:rFonts w:cs="Arial"/>
          <w:b/>
          <w:sz w:val="20"/>
        </w:rPr>
      </w:pPr>
      <w:r w:rsidRPr="005C3BB0">
        <w:rPr>
          <w:rFonts w:cs="Arial"/>
          <w:b/>
          <w:sz w:val="20"/>
        </w:rPr>
        <w:t xml:space="preserve">Conclusion </w:t>
      </w:r>
    </w:p>
    <w:p w14:paraId="389F34D8" w14:textId="77777777" w:rsidR="00D90E05" w:rsidRPr="00AA2DED" w:rsidRDefault="00D90E05" w:rsidP="00AA2DED">
      <w:pPr>
        <w:pStyle w:val="DDLHeading1"/>
        <w:spacing w:before="0" w:after="0"/>
        <w:rPr>
          <w:rFonts w:cs="Arial"/>
          <w:b w:val="0"/>
          <w:sz w:val="20"/>
        </w:rPr>
      </w:pPr>
      <w:r w:rsidRPr="00543048">
        <w:rPr>
          <w:rFonts w:cs="Arial"/>
          <w:b w:val="0"/>
          <w:sz w:val="20"/>
        </w:rPr>
        <w:t xml:space="preserve">The present work reveals the local delivery of drugs with aid of an inhalable spray-dried engineered </w:t>
      </w:r>
      <w:proofErr w:type="spellStart"/>
      <w:r w:rsidRPr="00543048">
        <w:rPr>
          <w:rFonts w:cs="Arial"/>
          <w:b w:val="0"/>
          <w:sz w:val="20"/>
        </w:rPr>
        <w:t>procubosomal</w:t>
      </w:r>
      <w:proofErr w:type="spellEnd"/>
      <w:r w:rsidRPr="00543048">
        <w:rPr>
          <w:rFonts w:cs="Arial"/>
          <w:b w:val="0"/>
          <w:sz w:val="20"/>
        </w:rPr>
        <w:t xml:space="preserve"> powder (SDPP) carrier system targeting lung </w:t>
      </w:r>
      <w:proofErr w:type="spellStart"/>
      <w:r w:rsidRPr="00543048">
        <w:rPr>
          <w:rFonts w:cs="Arial"/>
          <w:b w:val="0"/>
          <w:sz w:val="20"/>
        </w:rPr>
        <w:t>tumor</w:t>
      </w:r>
      <w:proofErr w:type="spellEnd"/>
      <w:r w:rsidRPr="00543048">
        <w:rPr>
          <w:rFonts w:cs="Arial"/>
          <w:b w:val="0"/>
          <w:sz w:val="20"/>
        </w:rPr>
        <w:t xml:space="preserve"> or other respiratory diseases.</w:t>
      </w:r>
      <w:r w:rsidRPr="00543048">
        <w:rPr>
          <w:b w:val="0"/>
        </w:rPr>
        <w:t xml:space="preserve"> </w:t>
      </w:r>
      <w:r w:rsidRPr="00543048">
        <w:rPr>
          <w:rFonts w:cs="Arial"/>
          <w:b w:val="0"/>
          <w:sz w:val="20"/>
        </w:rPr>
        <w:t xml:space="preserve">In comparison with the results of previously prepared formulations in the literature, our findings demonstrated that the inhalable GFT-SDPP formulation showed higher aerosolization properties (FPF%), entrapment efficiency, and sustained release profile with increased dissolution for a longer period due to the substantial characteristics of </w:t>
      </w:r>
      <w:proofErr w:type="spellStart"/>
      <w:r w:rsidRPr="00543048">
        <w:rPr>
          <w:rFonts w:cs="Arial"/>
          <w:b w:val="0"/>
          <w:sz w:val="20"/>
        </w:rPr>
        <w:t>cubosomes</w:t>
      </w:r>
      <w:proofErr w:type="spellEnd"/>
      <w:r w:rsidRPr="00543048">
        <w:rPr>
          <w:rFonts w:cs="Arial"/>
          <w:b w:val="0"/>
          <w:sz w:val="20"/>
        </w:rPr>
        <w:t xml:space="preserve"> than other nanoparticulate systems. Based on our findings, we propose that lowering the local dose required for treatment to further decrease the systemic and local dose-related side effects would be a promising treatment modality.</w:t>
      </w:r>
    </w:p>
    <w:p w14:paraId="4EBB241A" w14:textId="77777777" w:rsidR="00D90E05" w:rsidRPr="00D90E05" w:rsidRDefault="00D90E05" w:rsidP="00D90E05">
      <w:pPr>
        <w:pStyle w:val="DDLBodyText"/>
      </w:pPr>
    </w:p>
    <w:p w14:paraId="7C64C6EB" w14:textId="77777777" w:rsidR="00D90E05" w:rsidRDefault="00D90E05" w:rsidP="00D90E05">
      <w:pPr>
        <w:pStyle w:val="DDLHeading1"/>
        <w:rPr>
          <w:sz w:val="20"/>
        </w:rPr>
        <w:sectPr w:rsidR="00D90E05" w:rsidSect="00660395">
          <w:headerReference w:type="even" r:id="rId11"/>
          <w:headerReference w:type="default" r:id="rId12"/>
          <w:endnotePr>
            <w:numFmt w:val="decimal"/>
          </w:endnotePr>
          <w:pgSz w:w="11907" w:h="16839" w:code="9"/>
          <w:pgMar w:top="1304" w:right="1304" w:bottom="993" w:left="1531" w:header="720" w:footer="720" w:gutter="0"/>
          <w:cols w:space="720"/>
          <w:docGrid w:linePitch="245"/>
        </w:sectPr>
      </w:pPr>
    </w:p>
    <w:p w14:paraId="41301E88" w14:textId="77777777" w:rsidR="00D90E05" w:rsidRDefault="00D90E05" w:rsidP="00D90E05">
      <w:pPr>
        <w:pStyle w:val="DDLHeading1"/>
        <w:spacing w:before="0" w:after="120"/>
        <w:rPr>
          <w:b w:val="0"/>
          <w:szCs w:val="18"/>
        </w:rPr>
      </w:pPr>
      <w:r>
        <w:rPr>
          <w:szCs w:val="18"/>
        </w:rPr>
        <w:lastRenderedPageBreak/>
        <w:t>Table 1</w:t>
      </w:r>
      <w:r w:rsidRPr="003C7CF7">
        <w:rPr>
          <w:szCs w:val="18"/>
        </w:rPr>
        <w:t xml:space="preserve">. </w:t>
      </w:r>
      <w:r w:rsidRPr="00F33310">
        <w:rPr>
          <w:b w:val="0"/>
          <w:szCs w:val="18"/>
        </w:rPr>
        <w:t>Taguchi L12 orthogonal array design for formulation and evaluat</w:t>
      </w:r>
      <w:r>
        <w:rPr>
          <w:b w:val="0"/>
          <w:szCs w:val="18"/>
        </w:rPr>
        <w:t>ion of different inhalable GFT-loaded</w:t>
      </w:r>
      <w:r w:rsidRPr="00F33310">
        <w:rPr>
          <w:b w:val="0"/>
          <w:szCs w:val="18"/>
        </w:rPr>
        <w:t xml:space="preserve"> spray-dried </w:t>
      </w:r>
      <w:proofErr w:type="spellStart"/>
      <w:r w:rsidRPr="00F33310">
        <w:rPr>
          <w:b w:val="0"/>
          <w:szCs w:val="18"/>
        </w:rPr>
        <w:t>procubo</w:t>
      </w:r>
      <w:r>
        <w:rPr>
          <w:b w:val="0"/>
          <w:szCs w:val="18"/>
        </w:rPr>
        <w:t>somal</w:t>
      </w:r>
      <w:proofErr w:type="spellEnd"/>
      <w:r>
        <w:rPr>
          <w:b w:val="0"/>
          <w:szCs w:val="18"/>
        </w:rPr>
        <w:t xml:space="preserve"> powder formulations (GFT</w:t>
      </w:r>
      <w:r w:rsidRPr="00F33310">
        <w:rPr>
          <w:b w:val="0"/>
          <w:szCs w:val="18"/>
        </w:rPr>
        <w:t>-SDPP).</w:t>
      </w:r>
    </w:p>
    <w:tbl>
      <w:tblPr>
        <w:tblStyle w:val="TableGrid"/>
        <w:tblW w:w="14260" w:type="dxa"/>
        <w:jc w:val="center"/>
        <w:tblLayout w:type="fixed"/>
        <w:tblLook w:val="04A0" w:firstRow="1" w:lastRow="0" w:firstColumn="1" w:lastColumn="0" w:noHBand="0" w:noVBand="1"/>
      </w:tblPr>
      <w:tblGrid>
        <w:gridCol w:w="670"/>
        <w:gridCol w:w="540"/>
        <w:gridCol w:w="540"/>
        <w:gridCol w:w="540"/>
        <w:gridCol w:w="561"/>
        <w:gridCol w:w="699"/>
        <w:gridCol w:w="201"/>
        <w:gridCol w:w="429"/>
        <w:gridCol w:w="471"/>
        <w:gridCol w:w="789"/>
        <w:gridCol w:w="720"/>
        <w:gridCol w:w="720"/>
        <w:gridCol w:w="651"/>
        <w:gridCol w:w="900"/>
        <w:gridCol w:w="900"/>
        <w:gridCol w:w="1599"/>
        <w:gridCol w:w="1530"/>
        <w:gridCol w:w="450"/>
        <w:gridCol w:w="1350"/>
      </w:tblGrid>
      <w:tr w:rsidR="00D90E05" w:rsidRPr="00026BC4" w14:paraId="558F0978" w14:textId="77777777" w:rsidTr="00772551">
        <w:trPr>
          <w:jc w:val="center"/>
        </w:trPr>
        <w:tc>
          <w:tcPr>
            <w:tcW w:w="2851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6E10164E" w14:textId="77777777" w:rsidR="00D90E05" w:rsidRPr="00026BC4" w:rsidRDefault="00D90E05" w:rsidP="00D0036B">
            <w:pPr>
              <w:spacing w:after="120"/>
              <w:rPr>
                <w:rFonts w:cs="Arial"/>
                <w:b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Independent variables</w:t>
            </w:r>
          </w:p>
        </w:tc>
        <w:tc>
          <w:tcPr>
            <w:tcW w:w="90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A349270" w14:textId="77777777" w:rsidR="00D90E05" w:rsidRPr="00026BC4" w:rsidRDefault="00D90E05" w:rsidP="00D0036B">
            <w:pPr>
              <w:spacing w:after="120"/>
              <w:rPr>
                <w:rFonts w:cs="Arial"/>
                <w:b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Level 1 (-1)</w:t>
            </w:r>
          </w:p>
        </w:tc>
        <w:tc>
          <w:tcPr>
            <w:tcW w:w="90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DE2C64D" w14:textId="77777777" w:rsidR="00D90E05" w:rsidRPr="00026BC4" w:rsidRDefault="00D90E05" w:rsidP="00D0036B">
            <w:pPr>
              <w:spacing w:after="120"/>
              <w:rPr>
                <w:rFonts w:cs="Arial"/>
                <w:b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Level 2 (+1)</w:t>
            </w:r>
          </w:p>
        </w:tc>
        <w:tc>
          <w:tcPr>
            <w:tcW w:w="288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0FDE5C4E" w14:textId="77777777" w:rsidR="00D90E05" w:rsidRPr="00026BC4" w:rsidRDefault="00D90E05" w:rsidP="00D0036B">
            <w:pPr>
              <w:spacing w:after="120"/>
              <w:rPr>
                <w:rFonts w:cs="Arial"/>
                <w:b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Independent variables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6087D821" w14:textId="77777777" w:rsidR="00D90E05" w:rsidRPr="00026BC4" w:rsidRDefault="00D90E05" w:rsidP="00D0036B">
            <w:pPr>
              <w:spacing w:after="120"/>
              <w:rPr>
                <w:rFonts w:cs="Arial"/>
                <w:b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Level 1 (-1)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567B41E1" w14:textId="77777777" w:rsidR="00D90E05" w:rsidRPr="00026BC4" w:rsidRDefault="00D90E05" w:rsidP="00D0036B">
            <w:pPr>
              <w:spacing w:after="120"/>
              <w:rPr>
                <w:rFonts w:cs="Arial"/>
                <w:b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Level 2 (+1)</w:t>
            </w:r>
          </w:p>
        </w:tc>
        <w:tc>
          <w:tcPr>
            <w:tcW w:w="3579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519B310D" w14:textId="77777777" w:rsidR="00D90E05" w:rsidRPr="00026BC4" w:rsidRDefault="00D90E05" w:rsidP="00D0036B">
            <w:pPr>
              <w:spacing w:after="120"/>
              <w:rPr>
                <w:rFonts w:cs="Arial"/>
                <w:b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Dependent variables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14:paraId="49B5912B" w14:textId="77777777" w:rsidR="00D90E05" w:rsidRPr="00026BC4" w:rsidRDefault="00D90E05" w:rsidP="00D0036B">
            <w:pPr>
              <w:spacing w:after="120"/>
              <w:rPr>
                <w:rFonts w:cs="Arial"/>
                <w:b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Constraints</w:t>
            </w:r>
          </w:p>
        </w:tc>
      </w:tr>
      <w:tr w:rsidR="00D90E05" w:rsidRPr="00026BC4" w14:paraId="7D3094D1" w14:textId="77777777" w:rsidTr="00772551">
        <w:trPr>
          <w:jc w:val="center"/>
        </w:trPr>
        <w:tc>
          <w:tcPr>
            <w:tcW w:w="2851" w:type="dxa"/>
            <w:gridSpan w:val="5"/>
            <w:tcBorders>
              <w:left w:val="nil"/>
              <w:bottom w:val="nil"/>
              <w:right w:val="nil"/>
            </w:tcBorders>
          </w:tcPr>
          <w:p w14:paraId="6B6B1B2E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X1</w:t>
            </w:r>
            <w:r w:rsidRPr="00026BC4">
              <w:rPr>
                <w:rFonts w:cs="Arial"/>
                <w:sz w:val="16"/>
                <w:szCs w:val="16"/>
              </w:rPr>
              <w:t xml:space="preserve"> GMO: P407 (mg)</w:t>
            </w:r>
          </w:p>
        </w:tc>
        <w:tc>
          <w:tcPr>
            <w:tcW w:w="900" w:type="dxa"/>
            <w:gridSpan w:val="2"/>
            <w:tcBorders>
              <w:left w:val="nil"/>
              <w:bottom w:val="nil"/>
              <w:right w:val="nil"/>
            </w:tcBorders>
          </w:tcPr>
          <w:p w14:paraId="06FEA4B5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100:20</w:t>
            </w:r>
          </w:p>
        </w:tc>
        <w:tc>
          <w:tcPr>
            <w:tcW w:w="900" w:type="dxa"/>
            <w:gridSpan w:val="2"/>
            <w:tcBorders>
              <w:left w:val="nil"/>
              <w:bottom w:val="nil"/>
              <w:right w:val="nil"/>
            </w:tcBorders>
          </w:tcPr>
          <w:p w14:paraId="720163EE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150:30</w:t>
            </w:r>
          </w:p>
        </w:tc>
        <w:tc>
          <w:tcPr>
            <w:tcW w:w="2880" w:type="dxa"/>
            <w:gridSpan w:val="4"/>
            <w:tcBorders>
              <w:left w:val="nil"/>
              <w:bottom w:val="nil"/>
              <w:right w:val="nil"/>
            </w:tcBorders>
          </w:tcPr>
          <w:p w14:paraId="3A6399CC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X7</w:t>
            </w:r>
            <w:r w:rsidRPr="00026BC4">
              <w:rPr>
                <w:rFonts w:cs="Arial"/>
                <w:sz w:val="16"/>
                <w:szCs w:val="16"/>
              </w:rPr>
              <w:t xml:space="preserve"> Inlet temperature (°C)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1A0FF629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71634E92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3579" w:type="dxa"/>
            <w:gridSpan w:val="3"/>
            <w:tcBorders>
              <w:left w:val="nil"/>
              <w:bottom w:val="nil"/>
              <w:right w:val="nil"/>
            </w:tcBorders>
          </w:tcPr>
          <w:p w14:paraId="09CA226A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Y1</w:t>
            </w:r>
            <w:r w:rsidR="00530192"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026BC4">
              <w:rPr>
                <w:rFonts w:cs="Arial"/>
                <w:sz w:val="16"/>
                <w:szCs w:val="16"/>
              </w:rPr>
              <w:t>Device removal efficiency (</w:t>
            </w:r>
            <w:r w:rsidR="00D0036B">
              <w:rPr>
                <w:rFonts w:cs="Arial"/>
                <w:sz w:val="16"/>
                <w:szCs w:val="16"/>
              </w:rPr>
              <w:t>%</w:t>
            </w:r>
            <w:r w:rsidRPr="00026BC4">
              <w:rPr>
                <w:rFonts w:cs="Arial"/>
                <w:sz w:val="16"/>
                <w:szCs w:val="16"/>
              </w:rPr>
              <w:t>DRE)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14:paraId="2A96FB39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Maximum</w:t>
            </w:r>
          </w:p>
        </w:tc>
      </w:tr>
      <w:tr w:rsidR="00D90E05" w:rsidRPr="00026BC4" w14:paraId="7F1DC109" w14:textId="77777777" w:rsidTr="00772551">
        <w:trPr>
          <w:jc w:val="center"/>
        </w:trPr>
        <w:tc>
          <w:tcPr>
            <w:tcW w:w="28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CA1155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 xml:space="preserve">X2 </w:t>
            </w:r>
            <w:r w:rsidRPr="00026BC4">
              <w:rPr>
                <w:rFonts w:cs="Arial"/>
                <w:sz w:val="16"/>
                <w:szCs w:val="16"/>
              </w:rPr>
              <w:t>PEG200 (mg)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7CA04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DB0A8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CECF29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 xml:space="preserve">X8 </w:t>
            </w:r>
            <w:r w:rsidRPr="00026BC4">
              <w:rPr>
                <w:rFonts w:cs="Arial"/>
                <w:sz w:val="16"/>
                <w:szCs w:val="16"/>
              </w:rPr>
              <w:t>Outlet temperature (°C)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6EE1F3B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830CAE9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35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E53A7E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Y2</w:t>
            </w:r>
            <w:r w:rsidRPr="00026BC4">
              <w:rPr>
                <w:rFonts w:cs="Arial"/>
                <w:sz w:val="16"/>
                <w:szCs w:val="16"/>
              </w:rPr>
              <w:t xml:space="preserve"> Aerosolization efficiency (</w:t>
            </w:r>
            <w:r w:rsidR="00D0036B">
              <w:rPr>
                <w:rFonts w:cs="Arial"/>
                <w:sz w:val="16"/>
                <w:szCs w:val="16"/>
              </w:rPr>
              <w:t>%</w:t>
            </w:r>
            <w:r w:rsidRPr="00026BC4">
              <w:rPr>
                <w:rFonts w:cs="Arial"/>
                <w:sz w:val="16"/>
                <w:szCs w:val="16"/>
              </w:rPr>
              <w:t>AE)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F01B22F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Maximum</w:t>
            </w:r>
          </w:p>
        </w:tc>
      </w:tr>
      <w:tr w:rsidR="00D90E05" w:rsidRPr="00026BC4" w14:paraId="3A70D3A6" w14:textId="77777777" w:rsidTr="00772551">
        <w:trPr>
          <w:jc w:val="center"/>
        </w:trPr>
        <w:tc>
          <w:tcPr>
            <w:tcW w:w="28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3838229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X3</w:t>
            </w:r>
            <w:r w:rsidRPr="00026BC4">
              <w:rPr>
                <w:rFonts w:cs="Arial"/>
                <w:sz w:val="16"/>
                <w:szCs w:val="16"/>
              </w:rPr>
              <w:t xml:space="preserve"> Stirring Temperature (°C)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53D87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64DB1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CF5D7C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X9</w:t>
            </w:r>
            <w:r w:rsidRPr="00026BC4">
              <w:rPr>
                <w:rFonts w:cs="Arial"/>
                <w:sz w:val="16"/>
                <w:szCs w:val="16"/>
              </w:rPr>
              <w:t xml:space="preserve"> Aspirator flow rate (m</w:t>
            </w:r>
            <w:r w:rsidRPr="00026BC4">
              <w:rPr>
                <w:rFonts w:cs="Arial"/>
                <w:sz w:val="16"/>
                <w:szCs w:val="16"/>
                <w:vertAlign w:val="superscript"/>
              </w:rPr>
              <w:t>3</w:t>
            </w:r>
            <w:r w:rsidRPr="00026BC4">
              <w:rPr>
                <w:rFonts w:cs="Arial"/>
                <w:sz w:val="16"/>
                <w:szCs w:val="16"/>
              </w:rPr>
              <w:t xml:space="preserve">/h)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4424441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D411BCB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35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D44510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Y3</w:t>
            </w:r>
            <w:r w:rsidRPr="00026BC4">
              <w:rPr>
                <w:rFonts w:cs="Arial"/>
                <w:sz w:val="16"/>
                <w:szCs w:val="16"/>
              </w:rPr>
              <w:t xml:space="preserve"> Fine particle fraction (</w:t>
            </w:r>
            <w:r w:rsidR="00D0036B">
              <w:rPr>
                <w:rFonts w:cs="Arial"/>
                <w:sz w:val="16"/>
                <w:szCs w:val="16"/>
              </w:rPr>
              <w:t>%</w:t>
            </w:r>
            <w:r w:rsidRPr="00026BC4">
              <w:rPr>
                <w:rFonts w:cs="Arial"/>
                <w:sz w:val="16"/>
                <w:szCs w:val="16"/>
              </w:rPr>
              <w:t>FPF)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B6A5CA3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Maximum</w:t>
            </w:r>
          </w:p>
        </w:tc>
      </w:tr>
      <w:tr w:rsidR="00D90E05" w:rsidRPr="00026BC4" w14:paraId="5AC650E9" w14:textId="77777777" w:rsidTr="00772551">
        <w:trPr>
          <w:jc w:val="center"/>
        </w:trPr>
        <w:tc>
          <w:tcPr>
            <w:tcW w:w="28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57459A7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X4</w:t>
            </w:r>
            <w:r w:rsidRPr="00026BC4">
              <w:rPr>
                <w:rFonts w:cs="Arial"/>
                <w:sz w:val="16"/>
                <w:szCs w:val="16"/>
              </w:rPr>
              <w:t xml:space="preserve"> Stirring speed (rpm)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0270C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400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6C6DC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1200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07B50C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X10</w:t>
            </w:r>
            <w:r w:rsidRPr="00026BC4">
              <w:rPr>
                <w:rFonts w:cs="Arial"/>
                <w:sz w:val="16"/>
                <w:szCs w:val="16"/>
              </w:rPr>
              <w:t xml:space="preserve"> Cyclone type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FB96002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I</w:t>
            </w:r>
            <w:r w:rsidR="001343A7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5A4ED9D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XVII</w:t>
            </w:r>
          </w:p>
        </w:tc>
        <w:tc>
          <w:tcPr>
            <w:tcW w:w="35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3C856A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Y4</w:t>
            </w:r>
            <w:r w:rsidRPr="00026BC4">
              <w:rPr>
                <w:rFonts w:cs="Arial"/>
                <w:sz w:val="16"/>
                <w:szCs w:val="16"/>
              </w:rPr>
              <w:t xml:space="preserve"> Yield</w:t>
            </w:r>
            <w:r w:rsidR="00D0036B">
              <w:rPr>
                <w:rFonts w:cs="Arial"/>
                <w:sz w:val="16"/>
                <w:szCs w:val="16"/>
              </w:rPr>
              <w:t xml:space="preserve"> (%)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3D70422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Maximum</w:t>
            </w:r>
          </w:p>
        </w:tc>
      </w:tr>
      <w:tr w:rsidR="00D90E05" w:rsidRPr="00026BC4" w14:paraId="7E5052F3" w14:textId="77777777" w:rsidTr="00772551">
        <w:trPr>
          <w:jc w:val="center"/>
        </w:trPr>
        <w:tc>
          <w:tcPr>
            <w:tcW w:w="28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1ADC35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X5</w:t>
            </w:r>
            <w:r w:rsidRPr="00026BC4">
              <w:rPr>
                <w:rFonts w:cs="Arial"/>
                <w:sz w:val="16"/>
                <w:szCs w:val="16"/>
              </w:rPr>
              <w:t xml:space="preserve"> Stirring duration (min)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E7D65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D88F8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9C86E9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 xml:space="preserve">X11 </w:t>
            </w:r>
            <w:r w:rsidRPr="00026BC4">
              <w:rPr>
                <w:rFonts w:cs="Arial"/>
                <w:sz w:val="16"/>
                <w:szCs w:val="16"/>
              </w:rPr>
              <w:t>Dummy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EF05304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4AD8709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5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224228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D50C2DC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D90E05" w:rsidRPr="00026BC4" w14:paraId="0E8F1215" w14:textId="77777777" w:rsidTr="00772551">
        <w:trPr>
          <w:jc w:val="center"/>
        </w:trPr>
        <w:tc>
          <w:tcPr>
            <w:tcW w:w="285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8B3D18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 xml:space="preserve">X6 </w:t>
            </w:r>
            <w:r w:rsidRPr="00026BC4">
              <w:rPr>
                <w:rFonts w:cs="Arial"/>
                <w:sz w:val="16"/>
                <w:szCs w:val="16"/>
              </w:rPr>
              <w:t>Mannitol: Leucine (mg)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B3B5A1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1700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4BE19D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cs="Arial"/>
                <w:sz w:val="16"/>
                <w:szCs w:val="16"/>
              </w:rPr>
              <w:t>2500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B3541" w14:textId="77777777" w:rsidR="00D90E05" w:rsidRPr="00026BC4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D6C3B2" w14:textId="77777777" w:rsidR="00D90E05" w:rsidRPr="00026BC4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1E6FA4" w14:textId="77777777" w:rsidR="00D90E05" w:rsidRPr="00026BC4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D9050" w14:textId="77777777" w:rsidR="00D90E05" w:rsidRPr="00026BC4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862D92" w14:textId="77777777" w:rsidR="00D90E05" w:rsidRPr="00026BC4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</w:tr>
      <w:tr w:rsidR="00D90E05" w:rsidRPr="00026BC4" w14:paraId="05CBE222" w14:textId="77777777" w:rsidTr="00772551">
        <w:trPr>
          <w:trHeight w:val="224"/>
          <w:jc w:val="center"/>
        </w:trPr>
        <w:tc>
          <w:tcPr>
            <w:tcW w:w="753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B57384" w14:textId="77777777" w:rsidR="00D90E05" w:rsidRPr="00026BC4" w:rsidRDefault="00D90E05" w:rsidP="00772551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Various Formulations by Taguchi design</w:t>
            </w:r>
          </w:p>
        </w:tc>
        <w:tc>
          <w:tcPr>
            <w:tcW w:w="67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1D5828" w14:textId="77777777" w:rsidR="00D90E05" w:rsidRPr="00026BC4" w:rsidRDefault="00D90E05" w:rsidP="00772551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  <w:r w:rsidRPr="00026BC4">
              <w:rPr>
                <w:rFonts w:cs="Arial"/>
                <w:b/>
                <w:sz w:val="16"/>
                <w:szCs w:val="16"/>
              </w:rPr>
              <w:t>Physical properties for each response parameter</w:t>
            </w:r>
          </w:p>
        </w:tc>
      </w:tr>
      <w:tr w:rsidR="00D90E05" w:rsidRPr="00026BC4" w14:paraId="29A7334A" w14:textId="77777777" w:rsidTr="00772551">
        <w:trPr>
          <w:trHeight w:val="275"/>
          <w:jc w:val="center"/>
        </w:trPr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AEDF88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Run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C2528D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X1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E5C5A9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X2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DCC774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X3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DC65B7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X4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36D647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X5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C72F7F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X6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75DC7A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X7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97F6C9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X8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E334EA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X9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71E22E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X10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ECB23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X11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3E20B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Y1 (DRE %)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C3A227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Y2 (AE %)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308A0F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Y3 (FPF %)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2D3DC2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b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b/>
                <w:color w:val="000000"/>
                <w:sz w:val="16"/>
                <w:szCs w:val="16"/>
              </w:rPr>
              <w:t>Y4 (Yield %)</w:t>
            </w:r>
          </w:p>
        </w:tc>
      </w:tr>
      <w:tr w:rsidR="00D90E05" w:rsidRPr="00026BC4" w14:paraId="197D2109" w14:textId="77777777" w:rsidTr="00772551">
        <w:trPr>
          <w:jc w:val="center"/>
        </w:trPr>
        <w:tc>
          <w:tcPr>
            <w:tcW w:w="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676272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386A9C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5EA92E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8D20A1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298EF0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5D6DD9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4BDD72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7B406C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633930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95CAFD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9942F8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B160F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1800" w:type="dxa"/>
            <w:gridSpan w:val="2"/>
            <w:tcBorders>
              <w:left w:val="nil"/>
              <w:bottom w:val="nil"/>
              <w:right w:val="nil"/>
            </w:tcBorders>
          </w:tcPr>
          <w:p w14:paraId="737A21DA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89.7 ± 1.1</w:t>
            </w:r>
          </w:p>
        </w:tc>
        <w:tc>
          <w:tcPr>
            <w:tcW w:w="1599" w:type="dxa"/>
            <w:tcBorders>
              <w:left w:val="nil"/>
              <w:bottom w:val="nil"/>
              <w:right w:val="nil"/>
            </w:tcBorders>
          </w:tcPr>
          <w:p w14:paraId="2F719152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37.2 ± 0.7</w:t>
            </w: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</w:tcPr>
          <w:p w14:paraId="32E0CAA3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59.6± 1.7</w:t>
            </w:r>
          </w:p>
        </w:tc>
        <w:tc>
          <w:tcPr>
            <w:tcW w:w="1800" w:type="dxa"/>
            <w:gridSpan w:val="2"/>
            <w:tcBorders>
              <w:left w:val="nil"/>
              <w:bottom w:val="nil"/>
              <w:right w:val="nil"/>
            </w:tcBorders>
          </w:tcPr>
          <w:p w14:paraId="74CA8C81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26.0 ± 0.8</w:t>
            </w:r>
          </w:p>
        </w:tc>
      </w:tr>
      <w:tr w:rsidR="00D90E05" w:rsidRPr="00026BC4" w14:paraId="2558937B" w14:textId="77777777" w:rsidTr="00772551">
        <w:trPr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70690698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82EFB7E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D72D76F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9BF7BD1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1FDC723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4FCD44C2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3A56A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27D8C4E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457C5A09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E96F2F8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FF3FCEC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1E3AA1A2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78AA9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 xml:space="preserve">88.5 ± 2.1 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1B6F41D3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42.8 ± 1.3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63CF99F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56.0± 1.2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1048E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24.3 ± 0.9</w:t>
            </w:r>
          </w:p>
        </w:tc>
      </w:tr>
      <w:tr w:rsidR="00D90E05" w:rsidRPr="00026BC4" w14:paraId="0BEF1CB9" w14:textId="77777777" w:rsidTr="00772551">
        <w:trPr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521E8BA2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8DF974C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4BC2975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18F483E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0D34B16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24F47FA8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222C0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628C0DF8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3200C45A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27981B1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A714AB3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174BA858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60059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89.2 ± 1.7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4BC84201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38.0 ± 1.5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C98FAE0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50.5± 1.8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DD4D65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20.5 ± 0.6</w:t>
            </w:r>
          </w:p>
        </w:tc>
      </w:tr>
      <w:tr w:rsidR="00D90E05" w:rsidRPr="00026BC4" w14:paraId="3611E6DA" w14:textId="77777777" w:rsidTr="00772551">
        <w:trPr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6F2D9097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210D137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A36F53D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96AD8DC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30E5680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78193986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0BF64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4F7B46F4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475DE092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77D2A63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7D000A4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21B563FA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943D7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89.2 ± 1.9</w:t>
            </w: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323C56AA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40.8 ± 1.4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FD57D24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53.3± 1.7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EAF8F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27.9 ± 0.8</w:t>
            </w:r>
          </w:p>
        </w:tc>
      </w:tr>
      <w:tr w:rsidR="00D90E05" w:rsidRPr="00026BC4" w14:paraId="7467E57E" w14:textId="77777777" w:rsidTr="00772551">
        <w:trPr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67D2143B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15F0FE0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6F0C231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D56A605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02BF96B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020C2B0F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C7FDE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512241F0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2A488050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A6F34A9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74408B1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680E4B36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683974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87.2 ± 1.7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4470BAA8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36.8 ± 1.2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3B59C9E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 xml:space="preserve">52.5± 1.9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62E37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19.0 ± 0.5</w:t>
            </w:r>
          </w:p>
        </w:tc>
      </w:tr>
      <w:tr w:rsidR="00D90E05" w:rsidRPr="00026BC4" w14:paraId="591D6F5D" w14:textId="77777777" w:rsidTr="00772551">
        <w:trPr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50DC1A18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6E1E65C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34F1084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B398187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82AEF42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2229A14D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DD739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3DD66DCA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663EAE2E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DAD05B6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1C0D947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1E5C618C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16E8C9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89.8 ± 2.2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5EED584F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36.6 ± 1.1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261C11D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50.5± 2.0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A5D64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22.7 ± 0.6</w:t>
            </w:r>
          </w:p>
        </w:tc>
      </w:tr>
      <w:tr w:rsidR="00D90E05" w:rsidRPr="00026BC4" w14:paraId="5F31F14D" w14:textId="77777777" w:rsidTr="00772551">
        <w:trPr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594618CD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1325E64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45C0E13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A94D089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A10E53F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053774B0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42C66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58A82230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4534832C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A9912DE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D7586FF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10C8AEE5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A3AE3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91.9 ± 2.6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1DE22368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46.8 ± 1.3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77519E3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61.9± 1.6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6EC96C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29.4 ± 1.0</w:t>
            </w:r>
          </w:p>
        </w:tc>
      </w:tr>
      <w:tr w:rsidR="00D90E05" w:rsidRPr="00026BC4" w14:paraId="6B7CA1EC" w14:textId="77777777" w:rsidTr="00772551">
        <w:trPr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1A02F23D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E13CAC6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8570C1C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E786384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B8E9486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77E49CC9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FCF7F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EA7F402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7C48C564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EC99746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6BD1B57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7FCEBA4F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E6382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87.8 ± 2.1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60CC40F9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40.8 ± 1.2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6E58CFE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53.7± 1.7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E9B66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22.8 ± 0.5</w:t>
            </w:r>
          </w:p>
        </w:tc>
      </w:tr>
      <w:tr w:rsidR="00D90E05" w:rsidRPr="00026BC4" w14:paraId="101E4F9B" w14:textId="77777777" w:rsidTr="00772551">
        <w:trPr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275CBCF8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BCA2EAB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66D0EEC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0E21B13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D35693E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251331FD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16ECE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56B4C201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6F83933A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5B4035F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5F20B30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31A3E257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EFC64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92.0 ± 2.4</w:t>
            </w: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609591E5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44.6 ± 0.9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50AEAE9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51.8± 2.1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2DBFC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31.6 ± 0.9</w:t>
            </w:r>
          </w:p>
        </w:tc>
      </w:tr>
      <w:tr w:rsidR="00D90E05" w:rsidRPr="00026BC4" w14:paraId="25234231" w14:textId="77777777" w:rsidTr="00772551">
        <w:trPr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75E0A6ED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670C616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F6C1AB9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14A1828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28D6E34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76C99927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056C53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7E196911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2FE0A4DE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8219D82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CA45B4C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684F28A1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6A744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91.1 ± 2.3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28DBC26E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33.6 ± 1.0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1BED0ED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46.7± 1.3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61DB34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28.3 ± 1.0</w:t>
            </w:r>
          </w:p>
        </w:tc>
      </w:tr>
      <w:tr w:rsidR="00D90E05" w:rsidRPr="00026BC4" w14:paraId="3B14DA33" w14:textId="77777777" w:rsidTr="00772551">
        <w:trPr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54AF25A5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E440E98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3F0CD62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8042594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2229E11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1516E365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E5EC7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6A26BDE6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6B5016F0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A8CF516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CA34F98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703144C5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282F81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91.6 ± 2.8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79B33E1A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43.6 ± 1.6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C626E45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57.6± 1.8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2D2C9A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23.8 ± 0.8</w:t>
            </w:r>
          </w:p>
        </w:tc>
      </w:tr>
      <w:tr w:rsidR="00D90E05" w:rsidRPr="00026BC4" w14:paraId="3F020378" w14:textId="77777777" w:rsidTr="00772551">
        <w:trPr>
          <w:jc w:val="center"/>
        </w:trPr>
        <w:tc>
          <w:tcPr>
            <w:tcW w:w="670" w:type="dxa"/>
            <w:tcBorders>
              <w:top w:val="nil"/>
              <w:left w:val="nil"/>
              <w:right w:val="nil"/>
            </w:tcBorders>
          </w:tcPr>
          <w:p w14:paraId="2A03B098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6A9A776E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42E4AA5A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59680E0B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</w:tcPr>
          <w:p w14:paraId="07EFA38D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99" w:type="dxa"/>
            <w:tcBorders>
              <w:top w:val="nil"/>
              <w:left w:val="nil"/>
              <w:right w:val="nil"/>
            </w:tcBorders>
          </w:tcPr>
          <w:p w14:paraId="0F620CC0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right w:val="nil"/>
            </w:tcBorders>
          </w:tcPr>
          <w:p w14:paraId="3F8FE1E4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471" w:type="dxa"/>
            <w:tcBorders>
              <w:top w:val="nil"/>
              <w:left w:val="nil"/>
              <w:right w:val="nil"/>
            </w:tcBorders>
          </w:tcPr>
          <w:p w14:paraId="0DD9ADE4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89" w:type="dxa"/>
            <w:tcBorders>
              <w:top w:val="nil"/>
              <w:left w:val="nil"/>
              <w:right w:val="nil"/>
            </w:tcBorders>
          </w:tcPr>
          <w:p w14:paraId="72F0B0EF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16C0A801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77F9E67B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+1</w:t>
            </w:r>
          </w:p>
        </w:tc>
        <w:tc>
          <w:tcPr>
            <w:tcW w:w="651" w:type="dxa"/>
            <w:tcBorders>
              <w:top w:val="nil"/>
              <w:left w:val="nil"/>
              <w:right w:val="nil"/>
            </w:tcBorders>
          </w:tcPr>
          <w:p w14:paraId="490BFEC2" w14:textId="77777777" w:rsidR="00D90E05" w:rsidRPr="00026BC4" w:rsidRDefault="00D90E05" w:rsidP="00772551">
            <w:pPr>
              <w:spacing w:after="0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right w:val="nil"/>
            </w:tcBorders>
          </w:tcPr>
          <w:p w14:paraId="6C393EE7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 xml:space="preserve">89.0 ± 1.9 </w:t>
            </w:r>
          </w:p>
        </w:tc>
        <w:tc>
          <w:tcPr>
            <w:tcW w:w="1599" w:type="dxa"/>
            <w:tcBorders>
              <w:top w:val="nil"/>
              <w:left w:val="nil"/>
              <w:right w:val="nil"/>
            </w:tcBorders>
          </w:tcPr>
          <w:p w14:paraId="6B2F095E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38.0</w:t>
            </w:r>
            <w:r w:rsidRPr="00026BC4">
              <w:rPr>
                <w:rFonts w:cs="Arial"/>
                <w:sz w:val="16"/>
                <w:szCs w:val="16"/>
              </w:rPr>
              <w:t xml:space="preserve"> </w:t>
            </w: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± 1.1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</w:tcPr>
          <w:p w14:paraId="06875942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48.6± 1.5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right w:val="nil"/>
            </w:tcBorders>
          </w:tcPr>
          <w:p w14:paraId="1177E111" w14:textId="77777777" w:rsidR="00D90E05" w:rsidRPr="00026BC4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026BC4">
              <w:rPr>
                <w:rFonts w:eastAsia="Times New Roman" w:cs="Arial"/>
                <w:color w:val="000000" w:themeColor="text1"/>
                <w:sz w:val="16"/>
                <w:szCs w:val="16"/>
              </w:rPr>
              <w:t>30.5 ± 1.2</w:t>
            </w:r>
          </w:p>
        </w:tc>
      </w:tr>
    </w:tbl>
    <w:p w14:paraId="4B4BF892" w14:textId="77777777" w:rsidR="00D90E05" w:rsidRDefault="00D90E05" w:rsidP="001D037C">
      <w:pPr>
        <w:pStyle w:val="DDLBodyText"/>
        <w:spacing w:before="180" w:after="120"/>
      </w:pPr>
      <w:r w:rsidRPr="00F33310">
        <w:rPr>
          <w:b/>
        </w:rPr>
        <w:t>Table 2.</w:t>
      </w:r>
      <w:r>
        <w:t xml:space="preserve"> </w:t>
      </w:r>
      <w:r w:rsidRPr="00E266A1">
        <w:t xml:space="preserve">Observed v/s predicted correlation of optimized formulation of inhalable spray-dried </w:t>
      </w:r>
      <w:proofErr w:type="spellStart"/>
      <w:r>
        <w:t>pro</w:t>
      </w:r>
      <w:r w:rsidRPr="00E266A1">
        <w:t>cubosomal</w:t>
      </w:r>
      <w:proofErr w:type="spellEnd"/>
      <w:r w:rsidRPr="00E266A1">
        <w:t xml:space="preserve"> powder along with its evaluation to obtained desirability specification.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9"/>
        <w:gridCol w:w="990"/>
        <w:gridCol w:w="720"/>
        <w:gridCol w:w="540"/>
        <w:gridCol w:w="810"/>
        <w:gridCol w:w="540"/>
        <w:gridCol w:w="810"/>
        <w:gridCol w:w="385"/>
        <w:gridCol w:w="245"/>
        <w:gridCol w:w="630"/>
        <w:gridCol w:w="540"/>
        <w:gridCol w:w="1175"/>
        <w:gridCol w:w="85"/>
        <w:gridCol w:w="776"/>
        <w:gridCol w:w="214"/>
        <w:gridCol w:w="990"/>
        <w:gridCol w:w="1080"/>
        <w:gridCol w:w="1080"/>
        <w:gridCol w:w="1068"/>
      </w:tblGrid>
      <w:tr w:rsidR="00D90E05" w:rsidRPr="00E266A1" w14:paraId="6323E81B" w14:textId="77777777" w:rsidTr="00772551">
        <w:trPr>
          <w:jc w:val="center"/>
        </w:trPr>
        <w:tc>
          <w:tcPr>
            <w:tcW w:w="3309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</w:tcPr>
          <w:p w14:paraId="3C8BDB0C" w14:textId="77777777" w:rsidR="00D90E05" w:rsidRPr="00E266A1" w:rsidRDefault="00D90E05" w:rsidP="00772551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160" w:type="dxa"/>
            <w:gridSpan w:val="3"/>
            <w:tcBorders>
              <w:left w:val="nil"/>
              <w:bottom w:val="single" w:sz="4" w:space="0" w:color="000000" w:themeColor="text1"/>
              <w:right w:val="nil"/>
            </w:tcBorders>
          </w:tcPr>
          <w:p w14:paraId="5C5F2550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DRE (%)</w:t>
            </w:r>
          </w:p>
        </w:tc>
        <w:tc>
          <w:tcPr>
            <w:tcW w:w="2975" w:type="dxa"/>
            <w:gridSpan w:val="5"/>
            <w:tcBorders>
              <w:left w:val="nil"/>
              <w:bottom w:val="single" w:sz="4" w:space="0" w:color="000000" w:themeColor="text1"/>
              <w:right w:val="nil"/>
            </w:tcBorders>
          </w:tcPr>
          <w:p w14:paraId="4927529E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AE (%)</w:t>
            </w:r>
          </w:p>
        </w:tc>
        <w:tc>
          <w:tcPr>
            <w:tcW w:w="2065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</w:tcPr>
          <w:p w14:paraId="0499481A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FPF (%)</w:t>
            </w:r>
          </w:p>
        </w:tc>
        <w:tc>
          <w:tcPr>
            <w:tcW w:w="3228" w:type="dxa"/>
            <w:gridSpan w:val="3"/>
            <w:tcBorders>
              <w:left w:val="nil"/>
              <w:bottom w:val="single" w:sz="4" w:space="0" w:color="000000" w:themeColor="text1"/>
              <w:right w:val="nil"/>
            </w:tcBorders>
          </w:tcPr>
          <w:p w14:paraId="076FB29D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Yield (%)</w:t>
            </w:r>
          </w:p>
        </w:tc>
      </w:tr>
      <w:tr w:rsidR="00D90E05" w:rsidRPr="00E266A1" w14:paraId="0FBCBACA" w14:textId="77777777" w:rsidTr="00772551">
        <w:trPr>
          <w:jc w:val="center"/>
        </w:trPr>
        <w:tc>
          <w:tcPr>
            <w:tcW w:w="3309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</w:tcPr>
          <w:p w14:paraId="738C410D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Parameters</w:t>
            </w:r>
          </w:p>
        </w:tc>
        <w:tc>
          <w:tcPr>
            <w:tcW w:w="810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66A8897B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Level</w:t>
            </w:r>
          </w:p>
        </w:tc>
        <w:tc>
          <w:tcPr>
            <w:tcW w:w="1735" w:type="dxa"/>
            <w:gridSpan w:val="3"/>
            <w:tcBorders>
              <w:left w:val="nil"/>
              <w:bottom w:val="single" w:sz="4" w:space="0" w:color="000000" w:themeColor="text1"/>
              <w:right w:val="nil"/>
            </w:tcBorders>
          </w:tcPr>
          <w:p w14:paraId="6AAF13F7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Description</w:t>
            </w:r>
          </w:p>
        </w:tc>
        <w:tc>
          <w:tcPr>
            <w:tcW w:w="875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599DD43A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Level</w:t>
            </w:r>
          </w:p>
        </w:tc>
        <w:tc>
          <w:tcPr>
            <w:tcW w:w="1715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16E3ABAF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Description</w:t>
            </w:r>
          </w:p>
        </w:tc>
        <w:tc>
          <w:tcPr>
            <w:tcW w:w="861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373E20A8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Level</w:t>
            </w:r>
          </w:p>
        </w:tc>
        <w:tc>
          <w:tcPr>
            <w:tcW w:w="1204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65779CD4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Description</w:t>
            </w:r>
          </w:p>
        </w:tc>
        <w:tc>
          <w:tcPr>
            <w:tcW w:w="1080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38C85C04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Level</w:t>
            </w:r>
          </w:p>
        </w:tc>
        <w:tc>
          <w:tcPr>
            <w:tcW w:w="2148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797EC79D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Description</w:t>
            </w:r>
          </w:p>
        </w:tc>
      </w:tr>
      <w:tr w:rsidR="00D90E05" w:rsidRPr="00E266A1" w14:paraId="5C70EA1F" w14:textId="77777777" w:rsidTr="00772551">
        <w:trPr>
          <w:jc w:val="center"/>
        </w:trPr>
        <w:tc>
          <w:tcPr>
            <w:tcW w:w="3309" w:type="dxa"/>
            <w:gridSpan w:val="4"/>
            <w:tcBorders>
              <w:left w:val="nil"/>
              <w:bottom w:val="nil"/>
              <w:right w:val="nil"/>
            </w:tcBorders>
          </w:tcPr>
          <w:p w14:paraId="56568876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X1 (mg)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50BDEFBB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735" w:type="dxa"/>
            <w:gridSpan w:val="3"/>
            <w:tcBorders>
              <w:left w:val="nil"/>
              <w:bottom w:val="nil"/>
              <w:right w:val="nil"/>
            </w:tcBorders>
          </w:tcPr>
          <w:p w14:paraId="21A2C31C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100:20</w:t>
            </w:r>
          </w:p>
        </w:tc>
        <w:tc>
          <w:tcPr>
            <w:tcW w:w="875" w:type="dxa"/>
            <w:gridSpan w:val="2"/>
            <w:tcBorders>
              <w:left w:val="nil"/>
              <w:bottom w:val="nil"/>
              <w:right w:val="nil"/>
            </w:tcBorders>
          </w:tcPr>
          <w:p w14:paraId="7C23CB68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715" w:type="dxa"/>
            <w:gridSpan w:val="2"/>
            <w:tcBorders>
              <w:left w:val="nil"/>
              <w:bottom w:val="nil"/>
              <w:right w:val="nil"/>
            </w:tcBorders>
          </w:tcPr>
          <w:p w14:paraId="043F4481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100:20</w:t>
            </w:r>
          </w:p>
        </w:tc>
        <w:tc>
          <w:tcPr>
            <w:tcW w:w="861" w:type="dxa"/>
            <w:gridSpan w:val="2"/>
            <w:tcBorders>
              <w:left w:val="nil"/>
              <w:bottom w:val="nil"/>
              <w:right w:val="nil"/>
            </w:tcBorders>
          </w:tcPr>
          <w:p w14:paraId="0A33B5C0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204" w:type="dxa"/>
            <w:gridSpan w:val="2"/>
            <w:tcBorders>
              <w:left w:val="nil"/>
              <w:bottom w:val="nil"/>
              <w:right w:val="nil"/>
            </w:tcBorders>
          </w:tcPr>
          <w:p w14:paraId="7CD032A8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100:20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14:paraId="5A3441CE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148" w:type="dxa"/>
            <w:gridSpan w:val="2"/>
            <w:tcBorders>
              <w:left w:val="nil"/>
              <w:bottom w:val="nil"/>
              <w:right w:val="nil"/>
            </w:tcBorders>
          </w:tcPr>
          <w:p w14:paraId="21CD4F88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100:20</w:t>
            </w:r>
          </w:p>
        </w:tc>
      </w:tr>
      <w:tr w:rsidR="00D90E05" w:rsidRPr="00E266A1" w14:paraId="3907675E" w14:textId="77777777" w:rsidTr="00772551">
        <w:trPr>
          <w:jc w:val="center"/>
        </w:trPr>
        <w:tc>
          <w:tcPr>
            <w:tcW w:w="33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D29FAB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X2 (mg)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5445F5B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0ADFD3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9A393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53D69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519421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C6531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8B2F347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BA28B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100</w:t>
            </w:r>
          </w:p>
        </w:tc>
      </w:tr>
      <w:tr w:rsidR="00D90E05" w:rsidRPr="00E266A1" w14:paraId="3F028A55" w14:textId="77777777" w:rsidTr="00772551">
        <w:trPr>
          <w:jc w:val="center"/>
        </w:trPr>
        <w:tc>
          <w:tcPr>
            <w:tcW w:w="33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1555D1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X3 (°C)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98A1682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8E3C24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5EC6D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BBFAE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544E3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087AA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F715E5F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E45A5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80</w:t>
            </w:r>
          </w:p>
        </w:tc>
      </w:tr>
      <w:tr w:rsidR="00D90E05" w:rsidRPr="00E266A1" w14:paraId="7814FDB2" w14:textId="77777777" w:rsidTr="00772551">
        <w:trPr>
          <w:jc w:val="center"/>
        </w:trPr>
        <w:tc>
          <w:tcPr>
            <w:tcW w:w="33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81ABFB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X4 (rpm)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CAF9281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941BEE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400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054B9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F2031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400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2A941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3F7F5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1200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32C4793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29683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1200</w:t>
            </w:r>
          </w:p>
        </w:tc>
      </w:tr>
      <w:tr w:rsidR="00D90E05" w:rsidRPr="00E266A1" w14:paraId="141CC59B" w14:textId="77777777" w:rsidTr="00772551">
        <w:trPr>
          <w:jc w:val="center"/>
        </w:trPr>
        <w:tc>
          <w:tcPr>
            <w:tcW w:w="33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559B43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X5 (min)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7322E15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1EC62E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5916D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C8DDB7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E642A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8558F5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6B25D3D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FA369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5</w:t>
            </w:r>
          </w:p>
        </w:tc>
      </w:tr>
      <w:tr w:rsidR="00D90E05" w:rsidRPr="00E266A1" w14:paraId="0952B955" w14:textId="77777777" w:rsidTr="00772551">
        <w:trPr>
          <w:jc w:val="center"/>
        </w:trPr>
        <w:tc>
          <w:tcPr>
            <w:tcW w:w="33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D58DFF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X6 (mg)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1B53C70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DC757F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2500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9456B1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E77B4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2500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2FF19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1193A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2500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E81BA49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 xml:space="preserve">2 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451CB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2500</w:t>
            </w:r>
          </w:p>
        </w:tc>
      </w:tr>
      <w:tr w:rsidR="00D90E05" w:rsidRPr="00E266A1" w14:paraId="6584B75A" w14:textId="77777777" w:rsidTr="00772551">
        <w:trPr>
          <w:jc w:val="center"/>
        </w:trPr>
        <w:tc>
          <w:tcPr>
            <w:tcW w:w="33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9CAA86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X7 (°C)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646BCCF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C61AC8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E2C5F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8F775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9FDCA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A051C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332F9B6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27C3B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95</w:t>
            </w:r>
          </w:p>
        </w:tc>
      </w:tr>
      <w:tr w:rsidR="00D90E05" w:rsidRPr="00E266A1" w14:paraId="5275E710" w14:textId="77777777" w:rsidTr="00772551">
        <w:trPr>
          <w:jc w:val="center"/>
        </w:trPr>
        <w:tc>
          <w:tcPr>
            <w:tcW w:w="33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7AE252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X8 (°C)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849297A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C8DDF3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788B2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3F133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917E2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5F139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8E3F36C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E364D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55</w:t>
            </w:r>
          </w:p>
        </w:tc>
      </w:tr>
      <w:tr w:rsidR="00D90E05" w:rsidRPr="00E266A1" w14:paraId="4BA759F5" w14:textId="77777777" w:rsidTr="00772551">
        <w:trPr>
          <w:jc w:val="center"/>
        </w:trPr>
        <w:tc>
          <w:tcPr>
            <w:tcW w:w="33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2E2868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X9 (m</w:t>
            </w:r>
            <w:r w:rsidRPr="00E266A1">
              <w:rPr>
                <w:rFonts w:cs="Arial"/>
                <w:sz w:val="16"/>
                <w:szCs w:val="16"/>
                <w:vertAlign w:val="superscript"/>
              </w:rPr>
              <w:t>3</w:t>
            </w:r>
            <w:r w:rsidRPr="00E266A1">
              <w:rPr>
                <w:rFonts w:cs="Arial"/>
                <w:sz w:val="16"/>
                <w:szCs w:val="16"/>
              </w:rPr>
              <w:t>/h)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5D0DE38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E9EC46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1A22C7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514F7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23E6B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15DEC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38CF26A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3C9184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65</w:t>
            </w:r>
          </w:p>
        </w:tc>
      </w:tr>
      <w:tr w:rsidR="00D90E05" w:rsidRPr="00E266A1" w14:paraId="009774DD" w14:textId="77777777" w:rsidTr="00772551">
        <w:trPr>
          <w:jc w:val="center"/>
        </w:trPr>
        <w:tc>
          <w:tcPr>
            <w:tcW w:w="33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32E025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X10 (cyclone type)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0CDEAF8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BC0BED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XVII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26926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28BFC7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XVII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2217D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DB9D56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XVII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52FDFC8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8D8F0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XVII</w:t>
            </w:r>
          </w:p>
        </w:tc>
      </w:tr>
      <w:tr w:rsidR="00D90E05" w:rsidRPr="00E266A1" w14:paraId="1BA80869" w14:textId="77777777" w:rsidTr="00772551">
        <w:trPr>
          <w:trHeight w:val="194"/>
          <w:jc w:val="center"/>
        </w:trPr>
        <w:tc>
          <w:tcPr>
            <w:tcW w:w="1373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AF78F" w14:textId="77777777" w:rsidR="00D90E05" w:rsidRPr="00E266A1" w:rsidRDefault="00D90E05" w:rsidP="00772551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Observed and predicted optimal conditions</w:t>
            </w:r>
          </w:p>
        </w:tc>
      </w:tr>
      <w:tr w:rsidR="00D90E05" w:rsidRPr="00E266A1" w14:paraId="43933ED7" w14:textId="77777777" w:rsidTr="00772551">
        <w:trPr>
          <w:trHeight w:val="194"/>
          <w:jc w:val="center"/>
        </w:trPr>
        <w:tc>
          <w:tcPr>
            <w:tcW w:w="852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5772D2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 xml:space="preserve">                 Independent Parameters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DDCB17C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691E206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DRE (%)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598E34F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AE (%)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5553374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FPF (%)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0A3B63E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Yield (%)</w:t>
            </w:r>
          </w:p>
        </w:tc>
      </w:tr>
      <w:tr w:rsidR="00D90E05" w:rsidRPr="00E266A1" w14:paraId="1A61ECC1" w14:textId="77777777" w:rsidTr="00772551">
        <w:trPr>
          <w:trHeight w:val="194"/>
          <w:jc w:val="center"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EA18A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F. No.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E7E009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X1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8A75E4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X2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D9744A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X3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4EE0CD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X4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12C881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X5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A2C0E7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X6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F25B2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X7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E61E51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X8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25DE9E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X9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DA4165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X10</w:t>
            </w: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1F0B8C0C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19085F5C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713F0C55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1AC916C3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068" w:type="dxa"/>
            <w:vMerge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2F7AF050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</w:tr>
      <w:tr w:rsidR="00D90E05" w:rsidRPr="00E266A1" w14:paraId="532B6A1D" w14:textId="77777777" w:rsidTr="00772551">
        <w:trPr>
          <w:jc w:val="center"/>
        </w:trPr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C46ABA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3F2767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100:20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D77F58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D4683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C6C6A9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400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C02EA4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CA1D20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2500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CC1C67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6A9C12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233BC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B77AEE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Cyclone</w:t>
            </w:r>
          </w:p>
          <w:p w14:paraId="5AF3C8D0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type XVII</w:t>
            </w:r>
          </w:p>
        </w:tc>
        <w:tc>
          <w:tcPr>
            <w:tcW w:w="990" w:type="dxa"/>
            <w:gridSpan w:val="2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556BB0EC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 xml:space="preserve">Predicted 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1F6F3404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92.5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082B2E9C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51.03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7BA7D023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106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FE8DB21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31.70</w:t>
            </w:r>
          </w:p>
        </w:tc>
      </w:tr>
      <w:tr w:rsidR="00D90E05" w:rsidRPr="00E266A1" w14:paraId="22DEEF7A" w14:textId="77777777" w:rsidTr="00772551">
        <w:trPr>
          <w:jc w:val="center"/>
        </w:trPr>
        <w:tc>
          <w:tcPr>
            <w:tcW w:w="20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92AE61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38A2E4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CDF4FF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CB154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6BC36C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34F341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64E98B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6046BF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86F1A5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7F0FBC4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F76A38" w14:textId="77777777" w:rsidR="00D90E05" w:rsidRPr="00E266A1" w:rsidRDefault="00D90E05" w:rsidP="00772551">
            <w:pPr>
              <w:spacing w:after="0"/>
              <w:rPr>
                <w:rFonts w:cs="Arial"/>
                <w:b/>
                <w:sz w:val="16"/>
                <w:szCs w:val="16"/>
              </w:rPr>
            </w:pPr>
            <w:r w:rsidRPr="00E266A1">
              <w:rPr>
                <w:rFonts w:cs="Arial"/>
                <w:b/>
                <w:sz w:val="16"/>
                <w:szCs w:val="16"/>
              </w:rPr>
              <w:t>Observed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B29BEC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proofErr w:type="gramStart"/>
            <w:r w:rsidRPr="00E266A1">
              <w:rPr>
                <w:rFonts w:cs="Arial"/>
                <w:sz w:val="16"/>
                <w:szCs w:val="16"/>
              </w:rPr>
              <w:t>94.2  ±</w:t>
            </w:r>
            <w:proofErr w:type="gramEnd"/>
            <w:r w:rsidRPr="00E266A1">
              <w:rPr>
                <w:rFonts w:cs="Arial"/>
                <w:sz w:val="16"/>
                <w:szCs w:val="16"/>
              </w:rPr>
              <w:t xml:space="preserve"> 5.6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145B57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52.2 ± 1.84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00F1B1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63.8 ± 3.63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451262" w14:textId="77777777" w:rsidR="00D90E05" w:rsidRPr="00E266A1" w:rsidRDefault="00D90E05" w:rsidP="00772551">
            <w:pPr>
              <w:spacing w:after="0"/>
              <w:rPr>
                <w:rFonts w:cs="Arial"/>
                <w:sz w:val="16"/>
                <w:szCs w:val="16"/>
              </w:rPr>
            </w:pPr>
            <w:r w:rsidRPr="00E266A1">
              <w:rPr>
                <w:rFonts w:cs="Arial"/>
                <w:sz w:val="16"/>
                <w:szCs w:val="16"/>
              </w:rPr>
              <w:t>32.5 ± 2.82</w:t>
            </w:r>
          </w:p>
        </w:tc>
      </w:tr>
    </w:tbl>
    <w:p w14:paraId="5D95E5CC" w14:textId="77777777" w:rsidR="00D90E05" w:rsidRPr="00D90E05" w:rsidRDefault="00D90E05" w:rsidP="00D90E05">
      <w:pPr>
        <w:pStyle w:val="DDLBodyText"/>
        <w:spacing w:before="120" w:after="120"/>
        <w:sectPr w:rsidR="00D90E05" w:rsidRPr="00D90E05" w:rsidSect="00D90E05">
          <w:endnotePr>
            <w:numFmt w:val="decimal"/>
          </w:endnotePr>
          <w:pgSz w:w="16839" w:h="11907" w:orient="landscape" w:code="9"/>
          <w:pgMar w:top="1310" w:right="994" w:bottom="1526" w:left="1310" w:header="720" w:footer="720" w:gutter="0"/>
          <w:cols w:space="720"/>
          <w:docGrid w:linePitch="245"/>
        </w:sectPr>
      </w:pPr>
    </w:p>
    <w:p w14:paraId="5A9DB214" w14:textId="77777777" w:rsidR="00A41AA2" w:rsidRDefault="00A41AA2" w:rsidP="00273C05">
      <w:pPr>
        <w:spacing w:after="0"/>
        <w:rPr>
          <w:rFonts w:cs="Arial"/>
          <w:b/>
          <w:sz w:val="20"/>
        </w:rPr>
      </w:pPr>
      <w:r>
        <w:rPr>
          <w:rFonts w:cs="Arial"/>
          <w:b/>
          <w:noProof/>
          <w:sz w:val="20"/>
          <w:lang w:val="en-US" w:eastAsia="en-US"/>
        </w:rPr>
        <w:lastRenderedPageBreak/>
        <w:drawing>
          <wp:inline distT="0" distB="0" distL="0" distR="0" wp14:anchorId="01FECAF5" wp14:editId="26BCC2E4">
            <wp:extent cx="5714364" cy="3724275"/>
            <wp:effectExtent l="19050" t="0" r="636" b="0"/>
            <wp:docPr id="1" name="Picture 1" descr="E:\Conference\DDL 2023\2023\Final Abstract\Final dcuments checklist\Graphical abstrac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onference\DDL 2023\2023\Final Abstract\Final dcuments checklist\Graphical abstract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773" t="1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841" cy="3723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C5837A" w14:textId="77777777" w:rsidR="001D037C" w:rsidRPr="00B07633" w:rsidRDefault="001D037C" w:rsidP="00273C05">
      <w:pPr>
        <w:spacing w:after="0"/>
        <w:rPr>
          <w:rFonts w:cs="Arial"/>
          <w:sz w:val="16"/>
          <w:szCs w:val="16"/>
        </w:rPr>
      </w:pPr>
      <w:r w:rsidRPr="00164E4E">
        <w:rPr>
          <w:rFonts w:cs="Arial"/>
          <w:b/>
          <w:sz w:val="20"/>
        </w:rPr>
        <w:t>Figure 1.</w:t>
      </w:r>
      <w:r w:rsidRPr="00164E4E">
        <w:rPr>
          <w:rFonts w:cs="Arial"/>
          <w:b/>
          <w:sz w:val="16"/>
          <w:szCs w:val="16"/>
        </w:rPr>
        <w:t xml:space="preserve"> </w:t>
      </w:r>
      <w:r w:rsidRPr="00B07633">
        <w:rPr>
          <w:rFonts w:cs="Arial"/>
          <w:sz w:val="20"/>
        </w:rPr>
        <w:t>Schemat</w:t>
      </w:r>
      <w:r w:rsidR="00273C05">
        <w:rPr>
          <w:rFonts w:cs="Arial"/>
          <w:sz w:val="20"/>
        </w:rPr>
        <w:t>ic diagram showing laboratory</w:t>
      </w:r>
      <w:r>
        <w:rPr>
          <w:rFonts w:cs="Arial"/>
          <w:sz w:val="20"/>
        </w:rPr>
        <w:t xml:space="preserve"> s</w:t>
      </w:r>
      <w:r w:rsidRPr="00B07633">
        <w:rPr>
          <w:rFonts w:cs="Arial"/>
          <w:sz w:val="20"/>
        </w:rPr>
        <w:t>pray dryer</w:t>
      </w:r>
      <w:r>
        <w:rPr>
          <w:rFonts w:cs="Arial"/>
          <w:sz w:val="20"/>
        </w:rPr>
        <w:t xml:space="preserve"> with cyclone separator</w:t>
      </w:r>
      <w:r w:rsidRPr="00B07633">
        <w:rPr>
          <w:rFonts w:cs="Arial"/>
          <w:sz w:val="20"/>
        </w:rPr>
        <w:t xml:space="preserve">, </w:t>
      </w:r>
      <w:r w:rsidR="00273C05">
        <w:rPr>
          <w:rFonts w:cs="Arial"/>
          <w:sz w:val="20"/>
        </w:rPr>
        <w:t xml:space="preserve">percentage contribution of each parameter, SEM image </w:t>
      </w:r>
      <w:r w:rsidR="009253EC">
        <w:rPr>
          <w:rFonts w:cs="Arial"/>
          <w:sz w:val="20"/>
        </w:rPr>
        <w:t xml:space="preserve">of powder </w:t>
      </w:r>
      <w:r w:rsidRPr="00B07633">
        <w:rPr>
          <w:rFonts w:cs="Arial"/>
          <w:sz w:val="20"/>
        </w:rPr>
        <w:t>and in-vitro r</w:t>
      </w:r>
      <w:r w:rsidR="00273C05">
        <w:rPr>
          <w:rFonts w:cs="Arial"/>
          <w:sz w:val="20"/>
        </w:rPr>
        <w:t>elease profile of GFT in SLFs</w:t>
      </w:r>
      <w:r w:rsidRPr="00B07633">
        <w:rPr>
          <w:rFonts w:cs="Arial"/>
          <w:sz w:val="20"/>
        </w:rPr>
        <w:t>.</w:t>
      </w:r>
    </w:p>
    <w:p w14:paraId="2A51D3D6" w14:textId="77777777" w:rsidR="001D037C" w:rsidRPr="000E68C7" w:rsidRDefault="001D037C" w:rsidP="001D037C">
      <w:pPr>
        <w:spacing w:before="120" w:after="0"/>
        <w:jc w:val="left"/>
        <w:rPr>
          <w:rFonts w:cs="Arial"/>
          <w:sz w:val="20"/>
        </w:rPr>
      </w:pPr>
      <w:r w:rsidRPr="000E68C7">
        <w:rPr>
          <w:rFonts w:cs="Arial"/>
          <w:b/>
          <w:sz w:val="20"/>
        </w:rPr>
        <w:t>Acknowledgement</w:t>
      </w:r>
    </w:p>
    <w:p w14:paraId="20387D9B" w14:textId="77777777" w:rsidR="001D037C" w:rsidRDefault="001D037C" w:rsidP="001D037C">
      <w:pPr>
        <w:spacing w:after="0"/>
        <w:rPr>
          <w:rFonts w:cs="Arial"/>
          <w:sz w:val="20"/>
        </w:rPr>
      </w:pPr>
      <w:r w:rsidRPr="000E68C7">
        <w:rPr>
          <w:rFonts w:cs="Arial"/>
          <w:sz w:val="20"/>
        </w:rPr>
        <w:t xml:space="preserve">The author would like to acknowledge the financial assistance provided by UGC-RGNF, India (Award no. </w:t>
      </w:r>
      <w:r w:rsidRPr="000E68C7">
        <w:rPr>
          <w:rFonts w:eastAsiaTheme="minorHAnsi" w:cs="Arial"/>
          <w:sz w:val="20"/>
        </w:rPr>
        <w:t>F1-17.1/2014-15/RGNF-2014-15-SC-PUN-84255</w:t>
      </w:r>
      <w:r w:rsidRPr="000E68C7">
        <w:rPr>
          <w:rFonts w:cs="Arial"/>
          <w:sz w:val="20"/>
        </w:rPr>
        <w:t>).</w:t>
      </w:r>
    </w:p>
    <w:p w14:paraId="32375403" w14:textId="3E50E20E" w:rsidR="001D037C" w:rsidRPr="001D037C" w:rsidRDefault="00000253" w:rsidP="00A41AA2">
      <w:pPr>
        <w:spacing w:before="120" w:after="0"/>
        <w:rPr>
          <w:b/>
          <w:sz w:val="20"/>
        </w:rPr>
      </w:pPr>
      <w:r>
        <w:rPr>
          <w:rFonts w:cs="Arial"/>
          <w:b/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8D6CEA" wp14:editId="778B83EC">
                <wp:simplePos x="0" y="0"/>
                <wp:positionH relativeFrom="column">
                  <wp:posOffset>-628650</wp:posOffset>
                </wp:positionH>
                <wp:positionV relativeFrom="paragraph">
                  <wp:posOffset>95885</wp:posOffset>
                </wp:positionV>
                <wp:extent cx="476250" cy="428625"/>
                <wp:effectExtent l="10160" t="6350" r="8890" b="12700"/>
                <wp:wrapNone/>
                <wp:docPr id="2893690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2C9F2" w14:textId="77777777" w:rsidR="0032219B" w:rsidRDefault="0032219B" w:rsidP="001D03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8D6CE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49.5pt;margin-top:7.55pt;width:37.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" strokecolor="white [3212]">
                <v:textbox>
                  <w:txbxContent>
                    <w:p w14:paraId="65E2C9F2" w14:textId="77777777" w:rsidR="0032219B" w:rsidRDefault="0032219B" w:rsidP="001D037C"/>
                  </w:txbxContent>
                </v:textbox>
              </v:shape>
            </w:pict>
          </mc:Fallback>
        </mc:AlternateContent>
      </w:r>
      <w:r w:rsidR="001D037C" w:rsidRPr="001D037C">
        <w:rPr>
          <w:b/>
          <w:sz w:val="20"/>
        </w:rPr>
        <w:t>References</w:t>
      </w:r>
    </w:p>
    <w:p w14:paraId="0F9ED37B" w14:textId="77777777" w:rsidR="001D037C" w:rsidRPr="0025108E" w:rsidRDefault="00EF3DAC" w:rsidP="001D037C">
      <w:pPr>
        <w:pStyle w:val="DDLBodyText"/>
        <w:spacing w:after="0"/>
        <w:ind w:left="720" w:hanging="720"/>
        <w:rPr>
          <w:rFonts w:cs="Arial"/>
          <w:noProof/>
          <w:sz w:val="16"/>
          <w:szCs w:val="16"/>
        </w:rPr>
      </w:pPr>
      <w:r>
        <w:fldChar w:fldCharType="begin"/>
      </w:r>
      <w:r w:rsidR="001D037C">
        <w:instrText xml:space="preserve"> ADDIN EN.REFLIST </w:instrText>
      </w:r>
      <w:r>
        <w:fldChar w:fldCharType="separate"/>
      </w:r>
      <w:bookmarkStart w:id="2" w:name="_ENREF_1"/>
      <w:r w:rsidR="001D037C" w:rsidRPr="0025108E">
        <w:rPr>
          <w:rFonts w:cs="Arial"/>
          <w:noProof/>
          <w:sz w:val="16"/>
          <w:szCs w:val="16"/>
        </w:rPr>
        <w:t>[1]</w:t>
      </w:r>
      <w:r w:rsidR="001D037C" w:rsidRPr="0025108E">
        <w:rPr>
          <w:rFonts w:cs="Arial"/>
          <w:noProof/>
          <w:sz w:val="16"/>
          <w:szCs w:val="16"/>
        </w:rPr>
        <w:tab/>
        <w:t xml:space="preserve">Singh A, Bhatia S, Rana V: Inhalable Nanostructures for Lung Cancer Treatment: Progress and Challenges, </w:t>
      </w:r>
      <w:r w:rsidR="001D037C" w:rsidRPr="0025108E">
        <w:rPr>
          <w:rFonts w:cs="Arial"/>
          <w:i/>
          <w:noProof/>
          <w:sz w:val="16"/>
          <w:szCs w:val="16"/>
        </w:rPr>
        <w:t xml:space="preserve">Current Nanomedicine (Formerly: Recent Patents on Nanomedicine) </w:t>
      </w:r>
      <w:r w:rsidR="001D037C" w:rsidRPr="0025108E">
        <w:rPr>
          <w:rFonts w:cs="Arial"/>
          <w:noProof/>
          <w:sz w:val="16"/>
          <w:szCs w:val="16"/>
        </w:rPr>
        <w:t>2019; 9:4-29.</w:t>
      </w:r>
      <w:bookmarkEnd w:id="2"/>
    </w:p>
    <w:p w14:paraId="5B23C7BC" w14:textId="77777777" w:rsidR="001D037C" w:rsidRPr="0025108E" w:rsidRDefault="001D037C" w:rsidP="001D037C">
      <w:pPr>
        <w:pStyle w:val="DDLBodyText"/>
        <w:spacing w:after="0"/>
        <w:ind w:left="720" w:hanging="720"/>
        <w:rPr>
          <w:rFonts w:cs="Arial"/>
          <w:noProof/>
          <w:sz w:val="16"/>
          <w:szCs w:val="16"/>
        </w:rPr>
      </w:pPr>
      <w:bookmarkStart w:id="3" w:name="_ENREF_2"/>
      <w:r w:rsidRPr="0025108E">
        <w:rPr>
          <w:rFonts w:cs="Arial"/>
          <w:noProof/>
          <w:sz w:val="16"/>
          <w:szCs w:val="16"/>
        </w:rPr>
        <w:t>[2]</w:t>
      </w:r>
      <w:r w:rsidRPr="0025108E">
        <w:rPr>
          <w:rFonts w:cs="Arial"/>
          <w:noProof/>
          <w:sz w:val="16"/>
          <w:szCs w:val="16"/>
        </w:rPr>
        <w:tab/>
        <w:t xml:space="preserve">Ahmad J, Akhter S, Rizwanullah M, Amin S, Rahman M, Ahmad MZ, Rizvi MA, Kamal MA, Ahmad FJ: Nanotechnology-based inhalation treatments for lung cancer: state of the art, </w:t>
      </w:r>
      <w:r w:rsidRPr="0025108E">
        <w:rPr>
          <w:rFonts w:cs="Arial"/>
          <w:i/>
          <w:noProof/>
          <w:sz w:val="16"/>
          <w:szCs w:val="16"/>
        </w:rPr>
        <w:t xml:space="preserve">Nanotechnology, science and applications </w:t>
      </w:r>
      <w:r w:rsidRPr="0025108E">
        <w:rPr>
          <w:rFonts w:cs="Arial"/>
          <w:noProof/>
          <w:sz w:val="16"/>
          <w:szCs w:val="16"/>
        </w:rPr>
        <w:t>2015; 8:55.</w:t>
      </w:r>
      <w:bookmarkEnd w:id="3"/>
    </w:p>
    <w:p w14:paraId="06B25E07" w14:textId="77777777" w:rsidR="001D037C" w:rsidRPr="0025108E" w:rsidRDefault="001D037C" w:rsidP="001D037C">
      <w:pPr>
        <w:pStyle w:val="DDLBodyText"/>
        <w:spacing w:after="0"/>
        <w:ind w:left="720" w:hanging="720"/>
        <w:rPr>
          <w:rFonts w:cs="Arial"/>
          <w:noProof/>
          <w:sz w:val="16"/>
          <w:szCs w:val="16"/>
        </w:rPr>
      </w:pPr>
      <w:bookmarkStart w:id="4" w:name="_ENREF_3"/>
      <w:r w:rsidRPr="0025108E">
        <w:rPr>
          <w:rFonts w:cs="Arial"/>
          <w:noProof/>
          <w:sz w:val="16"/>
          <w:szCs w:val="16"/>
        </w:rPr>
        <w:t>[3]</w:t>
      </w:r>
      <w:r w:rsidRPr="0025108E">
        <w:rPr>
          <w:rFonts w:cs="Arial"/>
          <w:noProof/>
          <w:sz w:val="16"/>
          <w:szCs w:val="16"/>
        </w:rPr>
        <w:tab/>
        <w:t xml:space="preserve">Chauhan G, Wang X, Yousry C, Gupta V: Scalable Production and In Vitro Efficacy of Inhaled Erlotinib Nanoemulsion for Enhanced Efficacy in Non-Small Cell Lung Cancer (NSCLC), </w:t>
      </w:r>
      <w:r w:rsidRPr="0025108E">
        <w:rPr>
          <w:rFonts w:cs="Arial"/>
          <w:i/>
          <w:noProof/>
          <w:sz w:val="16"/>
          <w:szCs w:val="16"/>
        </w:rPr>
        <w:t xml:space="preserve">Pharmaceutics </w:t>
      </w:r>
      <w:r w:rsidRPr="0025108E">
        <w:rPr>
          <w:rFonts w:cs="Arial"/>
          <w:noProof/>
          <w:sz w:val="16"/>
          <w:szCs w:val="16"/>
        </w:rPr>
        <w:t>2023; 15:996.</w:t>
      </w:r>
      <w:bookmarkEnd w:id="4"/>
    </w:p>
    <w:p w14:paraId="03CDE726" w14:textId="77777777" w:rsidR="001D037C" w:rsidRPr="0025108E" w:rsidRDefault="001D037C" w:rsidP="001D037C">
      <w:pPr>
        <w:pStyle w:val="DDLBodyText"/>
        <w:spacing w:after="0"/>
        <w:ind w:left="720" w:hanging="720"/>
        <w:rPr>
          <w:rFonts w:cs="Arial"/>
          <w:noProof/>
          <w:sz w:val="16"/>
          <w:szCs w:val="16"/>
        </w:rPr>
      </w:pPr>
      <w:bookmarkStart w:id="5" w:name="_ENREF_4"/>
      <w:r w:rsidRPr="0025108E">
        <w:rPr>
          <w:rFonts w:cs="Arial"/>
          <w:noProof/>
          <w:sz w:val="16"/>
          <w:szCs w:val="16"/>
        </w:rPr>
        <w:t>[4]</w:t>
      </w:r>
      <w:r w:rsidRPr="0025108E">
        <w:rPr>
          <w:rFonts w:cs="Arial"/>
          <w:noProof/>
          <w:sz w:val="16"/>
          <w:szCs w:val="16"/>
        </w:rPr>
        <w:tab/>
        <w:t xml:space="preserve">Tseng C-L, Wu SY-H, Wang W-H, Peng C-L, Lin F-H, Lin C-C, Young T-H, Shieh M-J: Targeting efficiency and biodistribution of biotinylated-EGF-conjugated gelatin nanoparticles administered via aerosol delivery in nude mice with lung cancer, </w:t>
      </w:r>
      <w:r w:rsidRPr="0025108E">
        <w:rPr>
          <w:rFonts w:cs="Arial"/>
          <w:i/>
          <w:noProof/>
          <w:sz w:val="16"/>
          <w:szCs w:val="16"/>
        </w:rPr>
        <w:t xml:space="preserve">Biomaterials </w:t>
      </w:r>
      <w:r w:rsidRPr="0025108E">
        <w:rPr>
          <w:rFonts w:cs="Arial"/>
          <w:noProof/>
          <w:sz w:val="16"/>
          <w:szCs w:val="16"/>
        </w:rPr>
        <w:t>2008; 29:3014-3022.</w:t>
      </w:r>
      <w:bookmarkEnd w:id="5"/>
    </w:p>
    <w:p w14:paraId="0D293D8D" w14:textId="77777777" w:rsidR="001D037C" w:rsidRPr="0025108E" w:rsidRDefault="001D037C" w:rsidP="001D037C">
      <w:pPr>
        <w:pStyle w:val="DDLBodyText"/>
        <w:spacing w:after="0"/>
        <w:ind w:left="720" w:hanging="720"/>
        <w:rPr>
          <w:rFonts w:cs="Arial"/>
          <w:noProof/>
          <w:sz w:val="16"/>
          <w:szCs w:val="16"/>
        </w:rPr>
      </w:pPr>
      <w:bookmarkStart w:id="6" w:name="_ENREF_5"/>
      <w:r w:rsidRPr="0025108E">
        <w:rPr>
          <w:rFonts w:cs="Arial"/>
          <w:noProof/>
          <w:sz w:val="16"/>
          <w:szCs w:val="16"/>
        </w:rPr>
        <w:t>[5]</w:t>
      </w:r>
      <w:r w:rsidRPr="0025108E">
        <w:rPr>
          <w:rFonts w:cs="Arial"/>
          <w:noProof/>
          <w:sz w:val="16"/>
          <w:szCs w:val="16"/>
        </w:rPr>
        <w:tab/>
        <w:t xml:space="preserve">Sethuraman V, Janakiraman K, Krishnaswami V, Natesan S, Kandasamy R: pH responsive delivery of lumefantrine with calcium phosphate nanoparticles loaded lipidic cubosomes for the site specific treatment of lung cancer, </w:t>
      </w:r>
      <w:r w:rsidRPr="0025108E">
        <w:rPr>
          <w:rFonts w:cs="Arial"/>
          <w:i/>
          <w:noProof/>
          <w:sz w:val="16"/>
          <w:szCs w:val="16"/>
        </w:rPr>
        <w:t xml:space="preserve">Chemistry and Physics of Lipids </w:t>
      </w:r>
      <w:r w:rsidRPr="0025108E">
        <w:rPr>
          <w:rFonts w:cs="Arial"/>
          <w:noProof/>
          <w:sz w:val="16"/>
          <w:szCs w:val="16"/>
        </w:rPr>
        <w:t>2019; 224:104763.</w:t>
      </w:r>
      <w:bookmarkEnd w:id="6"/>
    </w:p>
    <w:p w14:paraId="022B0C2A" w14:textId="77777777" w:rsidR="001D037C" w:rsidRPr="0025108E" w:rsidRDefault="001D037C" w:rsidP="001D037C">
      <w:pPr>
        <w:pStyle w:val="DDLBodyText"/>
        <w:spacing w:after="0"/>
        <w:ind w:left="720" w:hanging="720"/>
        <w:rPr>
          <w:rFonts w:cs="Arial"/>
          <w:noProof/>
          <w:sz w:val="16"/>
          <w:szCs w:val="16"/>
        </w:rPr>
      </w:pPr>
      <w:bookmarkStart w:id="7" w:name="_ENREF_6"/>
      <w:r w:rsidRPr="0025108E">
        <w:rPr>
          <w:rFonts w:cs="Arial"/>
          <w:noProof/>
          <w:sz w:val="16"/>
          <w:szCs w:val="16"/>
        </w:rPr>
        <w:t>[6]</w:t>
      </w:r>
      <w:r w:rsidRPr="0025108E">
        <w:rPr>
          <w:rFonts w:cs="Arial"/>
          <w:noProof/>
          <w:sz w:val="16"/>
          <w:szCs w:val="16"/>
        </w:rPr>
        <w:tab/>
        <w:t xml:space="preserve">Yaghmur A, Glatter O: Characterization and potential applications of nanostructured aqueous dispersions, </w:t>
      </w:r>
      <w:r w:rsidRPr="0025108E">
        <w:rPr>
          <w:rFonts w:cs="Arial"/>
          <w:i/>
          <w:noProof/>
          <w:sz w:val="16"/>
          <w:szCs w:val="16"/>
        </w:rPr>
        <w:t xml:space="preserve">Advances in colloid and interface science </w:t>
      </w:r>
      <w:r w:rsidRPr="0025108E">
        <w:rPr>
          <w:rFonts w:cs="Arial"/>
          <w:noProof/>
          <w:sz w:val="16"/>
          <w:szCs w:val="16"/>
        </w:rPr>
        <w:t>2009; 147:333-342.</w:t>
      </w:r>
      <w:bookmarkEnd w:id="7"/>
    </w:p>
    <w:p w14:paraId="487E54BD" w14:textId="77777777" w:rsidR="001D037C" w:rsidRPr="0025108E" w:rsidRDefault="001D037C" w:rsidP="001D037C">
      <w:pPr>
        <w:pStyle w:val="DDLBodyText"/>
        <w:spacing w:after="0"/>
        <w:ind w:left="720" w:hanging="720"/>
        <w:rPr>
          <w:rFonts w:cs="Arial"/>
          <w:noProof/>
          <w:sz w:val="16"/>
          <w:szCs w:val="16"/>
        </w:rPr>
      </w:pPr>
      <w:bookmarkStart w:id="8" w:name="_ENREF_7"/>
      <w:r w:rsidRPr="0025108E">
        <w:rPr>
          <w:rFonts w:cs="Arial"/>
          <w:noProof/>
          <w:sz w:val="16"/>
          <w:szCs w:val="16"/>
        </w:rPr>
        <w:t>[7]</w:t>
      </w:r>
      <w:r w:rsidRPr="0025108E">
        <w:rPr>
          <w:rFonts w:cs="Arial"/>
          <w:noProof/>
          <w:sz w:val="16"/>
          <w:szCs w:val="16"/>
        </w:rPr>
        <w:tab/>
        <w:t xml:space="preserve">Shepard KB, Vodak DT, Kuehl PJ, Revelli D, Zhou Y, Pluntze AM, Adam MS, Oddo JC, Switala L, Cape JL: Local treatment of non-small cell lung cancer with a spray-dried bevacizumab formulation, </w:t>
      </w:r>
      <w:r w:rsidRPr="0025108E">
        <w:rPr>
          <w:rFonts w:cs="Arial"/>
          <w:i/>
          <w:noProof/>
          <w:sz w:val="16"/>
          <w:szCs w:val="16"/>
        </w:rPr>
        <w:t xml:space="preserve">Aaps Pharmscitech </w:t>
      </w:r>
      <w:r w:rsidRPr="0025108E">
        <w:rPr>
          <w:rFonts w:cs="Arial"/>
          <w:noProof/>
          <w:sz w:val="16"/>
          <w:szCs w:val="16"/>
        </w:rPr>
        <w:t>2021; 22:230.</w:t>
      </w:r>
      <w:bookmarkEnd w:id="8"/>
    </w:p>
    <w:p w14:paraId="3185BA51" w14:textId="77777777" w:rsidR="001D037C" w:rsidRPr="0025108E" w:rsidRDefault="001D037C" w:rsidP="001D037C">
      <w:pPr>
        <w:pStyle w:val="DDLBodyText"/>
        <w:spacing w:after="0"/>
        <w:ind w:left="720" w:hanging="720"/>
        <w:rPr>
          <w:rFonts w:cs="Arial"/>
          <w:noProof/>
          <w:sz w:val="16"/>
          <w:szCs w:val="16"/>
        </w:rPr>
      </w:pPr>
      <w:bookmarkStart w:id="9" w:name="_ENREF_8"/>
      <w:r w:rsidRPr="0025108E">
        <w:rPr>
          <w:rFonts w:cs="Arial"/>
          <w:noProof/>
          <w:sz w:val="16"/>
          <w:szCs w:val="16"/>
        </w:rPr>
        <w:t>[8]</w:t>
      </w:r>
      <w:r w:rsidRPr="0025108E">
        <w:rPr>
          <w:rFonts w:cs="Arial"/>
          <w:noProof/>
          <w:sz w:val="16"/>
          <w:szCs w:val="16"/>
        </w:rPr>
        <w:tab/>
        <w:t xml:space="preserve">Muheem A, Shakeel F, Warsi MH, Jain GK, Ahmad FJ: A Combinatorial Statistical Design Approach to Optimize the Nanostructured Cubosomal Carrier System for Oral Delivery of Ubidecarenone for Management of Doxorubicin-Induced Cardiotoxicity: In Vitro–In Vivo Investigations, </w:t>
      </w:r>
      <w:r w:rsidRPr="0025108E">
        <w:rPr>
          <w:rFonts w:cs="Arial"/>
          <w:i/>
          <w:noProof/>
          <w:sz w:val="16"/>
          <w:szCs w:val="16"/>
        </w:rPr>
        <w:t xml:space="preserve">Journal of pharmaceutical sciences </w:t>
      </w:r>
      <w:r w:rsidRPr="0025108E">
        <w:rPr>
          <w:rFonts w:cs="Arial"/>
          <w:noProof/>
          <w:sz w:val="16"/>
          <w:szCs w:val="16"/>
        </w:rPr>
        <w:t>2017; 106:3050-3065.</w:t>
      </w:r>
      <w:bookmarkEnd w:id="9"/>
    </w:p>
    <w:p w14:paraId="7249963B" w14:textId="77777777" w:rsidR="001D037C" w:rsidRPr="0025108E" w:rsidRDefault="001D037C" w:rsidP="001D037C">
      <w:pPr>
        <w:pStyle w:val="DDLBodyText"/>
        <w:spacing w:after="0"/>
        <w:ind w:left="720" w:hanging="720"/>
        <w:rPr>
          <w:rFonts w:cs="Arial"/>
          <w:noProof/>
          <w:sz w:val="16"/>
          <w:szCs w:val="16"/>
        </w:rPr>
      </w:pPr>
      <w:bookmarkStart w:id="10" w:name="_ENREF_9"/>
      <w:r w:rsidRPr="0025108E">
        <w:rPr>
          <w:rFonts w:cs="Arial"/>
          <w:noProof/>
          <w:sz w:val="16"/>
          <w:szCs w:val="16"/>
        </w:rPr>
        <w:t>[9]</w:t>
      </w:r>
      <w:r w:rsidRPr="0025108E">
        <w:rPr>
          <w:rFonts w:cs="Arial"/>
          <w:noProof/>
          <w:sz w:val="16"/>
          <w:szCs w:val="16"/>
        </w:rPr>
        <w:tab/>
        <w:t xml:space="preserve">Mansour HM, Rhee Y-S, Park C-W, DeLuca PP: </w:t>
      </w:r>
      <w:r w:rsidRPr="0025108E">
        <w:rPr>
          <w:rFonts w:cs="Arial"/>
          <w:b/>
          <w:noProof/>
          <w:sz w:val="16"/>
          <w:szCs w:val="16"/>
        </w:rPr>
        <w:t>Lipid nanoparticulate drug delivery and nanomedicine.</w:t>
      </w:r>
      <w:r w:rsidRPr="0025108E">
        <w:rPr>
          <w:rFonts w:cs="Arial"/>
          <w:noProof/>
          <w:sz w:val="16"/>
          <w:szCs w:val="16"/>
        </w:rPr>
        <w:t xml:space="preserve"> In </w:t>
      </w:r>
      <w:r w:rsidRPr="0025108E">
        <w:rPr>
          <w:rFonts w:cs="Arial"/>
          <w:i/>
          <w:noProof/>
          <w:sz w:val="16"/>
          <w:szCs w:val="16"/>
        </w:rPr>
        <w:t>Lipids in nanotechnology.</w:t>
      </w:r>
      <w:r w:rsidRPr="0025108E">
        <w:rPr>
          <w:rFonts w:cs="Arial"/>
          <w:noProof/>
          <w:sz w:val="16"/>
          <w:szCs w:val="16"/>
        </w:rPr>
        <w:t xml:space="preserve"> Elsevier; 2012: 221-268</w:t>
      </w:r>
      <w:bookmarkEnd w:id="10"/>
    </w:p>
    <w:p w14:paraId="0C15495A" w14:textId="77777777" w:rsidR="001D037C" w:rsidRPr="0025108E" w:rsidRDefault="001D037C" w:rsidP="001D037C">
      <w:pPr>
        <w:pStyle w:val="DDLBodyText"/>
        <w:spacing w:after="0"/>
        <w:ind w:left="720" w:hanging="720"/>
        <w:rPr>
          <w:rFonts w:cs="Arial"/>
          <w:noProof/>
          <w:sz w:val="16"/>
          <w:szCs w:val="16"/>
        </w:rPr>
      </w:pPr>
      <w:bookmarkStart w:id="11" w:name="_ENREF_10"/>
      <w:r w:rsidRPr="0025108E">
        <w:rPr>
          <w:rFonts w:cs="Arial"/>
          <w:noProof/>
          <w:sz w:val="16"/>
          <w:szCs w:val="16"/>
        </w:rPr>
        <w:t>[10]</w:t>
      </w:r>
      <w:r w:rsidRPr="0025108E">
        <w:rPr>
          <w:rFonts w:cs="Arial"/>
          <w:noProof/>
          <w:sz w:val="16"/>
          <w:szCs w:val="16"/>
        </w:rPr>
        <w:tab/>
        <w:t xml:space="preserve">Rizwan S, Assmus D, Boehnke A, Hanley T, Boyd B, Rades T, Hook S: Preparation of phytantriol cubosomes by solvent precursor dilution for the delivery of protein vaccines, </w:t>
      </w:r>
      <w:r w:rsidRPr="0025108E">
        <w:rPr>
          <w:rFonts w:cs="Arial"/>
          <w:i/>
          <w:noProof/>
          <w:sz w:val="16"/>
          <w:szCs w:val="16"/>
        </w:rPr>
        <w:t xml:space="preserve">European journal of pharmaceutics and biopharmaceutics </w:t>
      </w:r>
      <w:r w:rsidRPr="0025108E">
        <w:rPr>
          <w:rFonts w:cs="Arial"/>
          <w:noProof/>
          <w:sz w:val="16"/>
          <w:szCs w:val="16"/>
        </w:rPr>
        <w:t>2011; 79:15-22.</w:t>
      </w:r>
      <w:bookmarkEnd w:id="11"/>
    </w:p>
    <w:p w14:paraId="27ABB52C" w14:textId="77777777" w:rsidR="001D037C" w:rsidRPr="0025108E" w:rsidRDefault="001D037C" w:rsidP="001D037C">
      <w:pPr>
        <w:pStyle w:val="DDLBodyText"/>
        <w:spacing w:after="0"/>
        <w:ind w:left="720" w:hanging="720"/>
        <w:rPr>
          <w:rFonts w:cs="Arial"/>
          <w:noProof/>
          <w:sz w:val="16"/>
          <w:szCs w:val="16"/>
        </w:rPr>
      </w:pPr>
      <w:bookmarkStart w:id="12" w:name="_ENREF_11"/>
      <w:r w:rsidRPr="0025108E">
        <w:rPr>
          <w:rFonts w:cs="Arial"/>
          <w:noProof/>
          <w:sz w:val="16"/>
          <w:szCs w:val="16"/>
        </w:rPr>
        <w:t>[11]</w:t>
      </w:r>
      <w:r w:rsidRPr="0025108E">
        <w:rPr>
          <w:rFonts w:cs="Arial"/>
          <w:noProof/>
          <w:sz w:val="16"/>
          <w:szCs w:val="16"/>
        </w:rPr>
        <w:tab/>
        <w:t xml:space="preserve">Nielsen LH, Rades T, Boyd B, Boisen A: Microcontainers as an oral delivery system for spray dried cubosomes containing ovalbumin, </w:t>
      </w:r>
      <w:r w:rsidRPr="0025108E">
        <w:rPr>
          <w:rFonts w:cs="Arial"/>
          <w:i/>
          <w:noProof/>
          <w:sz w:val="16"/>
          <w:szCs w:val="16"/>
        </w:rPr>
        <w:t xml:space="preserve">European Journal of Pharmaceutics and Biopharmaceutics </w:t>
      </w:r>
      <w:r w:rsidRPr="0025108E">
        <w:rPr>
          <w:rFonts w:cs="Arial"/>
          <w:noProof/>
          <w:sz w:val="16"/>
          <w:szCs w:val="16"/>
        </w:rPr>
        <w:t>2017; 118:13-20.</w:t>
      </w:r>
      <w:bookmarkEnd w:id="12"/>
    </w:p>
    <w:p w14:paraId="01522AA9" w14:textId="77777777" w:rsidR="001D037C" w:rsidRPr="0025108E" w:rsidRDefault="001D037C" w:rsidP="001D037C">
      <w:pPr>
        <w:pStyle w:val="DDLBodyText"/>
        <w:spacing w:after="0"/>
        <w:ind w:left="720" w:hanging="720"/>
        <w:rPr>
          <w:rFonts w:cs="Arial"/>
          <w:noProof/>
          <w:sz w:val="16"/>
          <w:szCs w:val="16"/>
        </w:rPr>
      </w:pPr>
      <w:bookmarkStart w:id="13" w:name="_ENREF_12"/>
      <w:r w:rsidRPr="0025108E">
        <w:rPr>
          <w:rFonts w:cs="Arial"/>
          <w:noProof/>
          <w:sz w:val="16"/>
          <w:szCs w:val="16"/>
        </w:rPr>
        <w:t>[12]</w:t>
      </w:r>
      <w:r w:rsidRPr="0025108E">
        <w:rPr>
          <w:rFonts w:cs="Arial"/>
          <w:noProof/>
          <w:sz w:val="16"/>
          <w:szCs w:val="16"/>
        </w:rPr>
        <w:tab/>
        <w:t xml:space="preserve">Singh A, Rana V: Exploration of modified cyclone separator for the enhanced recovery of inhalable spray dried cubosomal powder intended to be used for lung delivery, </w:t>
      </w:r>
      <w:r w:rsidRPr="0025108E">
        <w:rPr>
          <w:rFonts w:cs="Arial"/>
          <w:i/>
          <w:noProof/>
          <w:sz w:val="16"/>
          <w:szCs w:val="16"/>
        </w:rPr>
        <w:t xml:space="preserve">Journal of Drug Delivery Science and Technology </w:t>
      </w:r>
      <w:r w:rsidRPr="0025108E">
        <w:rPr>
          <w:rFonts w:cs="Arial"/>
          <w:noProof/>
          <w:sz w:val="16"/>
          <w:szCs w:val="16"/>
        </w:rPr>
        <w:t>2021; 66:102848.</w:t>
      </w:r>
      <w:bookmarkEnd w:id="13"/>
    </w:p>
    <w:p w14:paraId="483B486C" w14:textId="77777777" w:rsidR="001D037C" w:rsidRPr="0025108E" w:rsidRDefault="001D037C" w:rsidP="001D037C">
      <w:pPr>
        <w:pStyle w:val="DDLBodyText"/>
        <w:spacing w:after="0"/>
        <w:ind w:left="720" w:hanging="720"/>
        <w:rPr>
          <w:rFonts w:cs="Arial"/>
          <w:noProof/>
          <w:sz w:val="16"/>
          <w:szCs w:val="16"/>
        </w:rPr>
      </w:pPr>
      <w:bookmarkStart w:id="14" w:name="_ENREF_13"/>
      <w:r w:rsidRPr="0025108E">
        <w:rPr>
          <w:rFonts w:cs="Arial"/>
          <w:noProof/>
          <w:sz w:val="16"/>
          <w:szCs w:val="16"/>
        </w:rPr>
        <w:t>[13]</w:t>
      </w:r>
      <w:r w:rsidRPr="0025108E">
        <w:rPr>
          <w:rFonts w:cs="Arial"/>
          <w:noProof/>
          <w:sz w:val="16"/>
          <w:szCs w:val="16"/>
        </w:rPr>
        <w:tab/>
        <w:t xml:space="preserve">Commission IP: </w:t>
      </w:r>
      <w:r w:rsidRPr="0025108E">
        <w:rPr>
          <w:rFonts w:cs="Arial"/>
          <w:b/>
          <w:noProof/>
          <w:sz w:val="16"/>
          <w:szCs w:val="16"/>
        </w:rPr>
        <w:t>Indian Pharmacopoeia 2007.</w:t>
      </w:r>
      <w:r w:rsidRPr="0025108E">
        <w:rPr>
          <w:rFonts w:cs="Arial"/>
          <w:noProof/>
          <w:sz w:val="16"/>
          <w:szCs w:val="16"/>
        </w:rPr>
        <w:t xml:space="preserve"> Indian Pharmacopoeia Commission; 2007.</w:t>
      </w:r>
      <w:bookmarkEnd w:id="14"/>
    </w:p>
    <w:p w14:paraId="25562576" w14:textId="77777777" w:rsidR="001D037C" w:rsidRPr="0025108E" w:rsidRDefault="001D037C" w:rsidP="001D037C">
      <w:pPr>
        <w:pStyle w:val="DDLBodyText"/>
        <w:spacing w:after="0"/>
        <w:ind w:left="720" w:hanging="720"/>
        <w:rPr>
          <w:rFonts w:cs="Arial"/>
          <w:noProof/>
          <w:sz w:val="16"/>
          <w:szCs w:val="16"/>
        </w:rPr>
      </w:pPr>
      <w:bookmarkStart w:id="15" w:name="_ENREF_14"/>
      <w:r w:rsidRPr="0025108E">
        <w:rPr>
          <w:rFonts w:cs="Arial"/>
          <w:noProof/>
          <w:sz w:val="16"/>
          <w:szCs w:val="16"/>
        </w:rPr>
        <w:t>[14]</w:t>
      </w:r>
      <w:r w:rsidRPr="0025108E">
        <w:rPr>
          <w:rFonts w:cs="Arial"/>
          <w:noProof/>
          <w:sz w:val="16"/>
          <w:szCs w:val="16"/>
        </w:rPr>
        <w:tab/>
        <w:t>González</w:t>
      </w:r>
      <w:r w:rsidRPr="0025108E">
        <w:rPr>
          <w:rFonts w:ascii="Cambria Math" w:hAnsi="Cambria Math" w:cs="Arial"/>
          <w:noProof/>
          <w:sz w:val="16"/>
          <w:szCs w:val="16"/>
        </w:rPr>
        <w:t>‐</w:t>
      </w:r>
      <w:r w:rsidRPr="0025108E">
        <w:rPr>
          <w:rFonts w:cs="Arial"/>
          <w:noProof/>
          <w:sz w:val="16"/>
          <w:szCs w:val="16"/>
        </w:rPr>
        <w:t>rodríguez ML, Mouram I, Cózar</w:t>
      </w:r>
      <w:r w:rsidRPr="0025108E">
        <w:rPr>
          <w:rFonts w:ascii="Cambria Math" w:hAnsi="Cambria Math" w:cs="Arial"/>
          <w:noProof/>
          <w:sz w:val="16"/>
          <w:szCs w:val="16"/>
        </w:rPr>
        <w:t>‐</w:t>
      </w:r>
      <w:r w:rsidRPr="0025108E">
        <w:rPr>
          <w:rFonts w:cs="Arial"/>
          <w:noProof/>
          <w:sz w:val="16"/>
          <w:szCs w:val="16"/>
        </w:rPr>
        <w:t xml:space="preserve">bernal MJ, Villasmil S, Rabasco AM: Applying the taguchi method to optimize sumatriptan succinate niosomes as drug carriers for skin delivery, </w:t>
      </w:r>
      <w:r w:rsidRPr="0025108E">
        <w:rPr>
          <w:rFonts w:cs="Arial"/>
          <w:i/>
          <w:noProof/>
          <w:sz w:val="16"/>
          <w:szCs w:val="16"/>
        </w:rPr>
        <w:t xml:space="preserve">Journal of pharmaceutical sciences </w:t>
      </w:r>
      <w:r w:rsidRPr="0025108E">
        <w:rPr>
          <w:rFonts w:cs="Arial"/>
          <w:noProof/>
          <w:sz w:val="16"/>
          <w:szCs w:val="16"/>
        </w:rPr>
        <w:t>2012; 101:3845-3863.</w:t>
      </w:r>
      <w:bookmarkEnd w:id="15"/>
    </w:p>
    <w:p w14:paraId="74E7F715" w14:textId="77777777" w:rsidR="00D90E05" w:rsidRPr="00D90E05" w:rsidRDefault="001D037C" w:rsidP="001D037C">
      <w:pPr>
        <w:spacing w:after="0"/>
        <w:ind w:left="720" w:hanging="720"/>
      </w:pPr>
      <w:bookmarkStart w:id="16" w:name="_ENREF_15"/>
      <w:r w:rsidRPr="0025108E">
        <w:rPr>
          <w:rFonts w:cs="Arial"/>
          <w:noProof/>
          <w:sz w:val="16"/>
          <w:szCs w:val="16"/>
        </w:rPr>
        <w:t>[15]</w:t>
      </w:r>
      <w:r w:rsidRPr="0025108E">
        <w:rPr>
          <w:rFonts w:cs="Arial"/>
          <w:noProof/>
          <w:sz w:val="16"/>
          <w:szCs w:val="16"/>
        </w:rPr>
        <w:tab/>
        <w:t xml:space="preserve">Eltayeb S, Su Z, Shi Y, Li S, Xiao Y, Ping Q: Preparation and optimization of transferrin-modified-artemether lipid </w:t>
      </w:r>
      <w:r>
        <w:rPr>
          <w:rFonts w:cs="Arial"/>
          <w:noProof/>
          <w:sz w:val="16"/>
          <w:szCs w:val="16"/>
        </w:rPr>
        <w:t xml:space="preserve">        </w:t>
      </w:r>
      <w:r w:rsidRPr="0025108E">
        <w:rPr>
          <w:rFonts w:cs="Arial"/>
          <w:noProof/>
          <w:sz w:val="16"/>
          <w:szCs w:val="16"/>
        </w:rPr>
        <w:t xml:space="preserve">nanospheres based on the orthogonal design of emulsion formulation and physically electrostatic adsorption, </w:t>
      </w:r>
      <w:r w:rsidRPr="0025108E">
        <w:rPr>
          <w:rFonts w:cs="Arial"/>
          <w:i/>
          <w:noProof/>
          <w:sz w:val="16"/>
          <w:szCs w:val="16"/>
        </w:rPr>
        <w:t xml:space="preserve">International Journal of Pharmaceutics </w:t>
      </w:r>
      <w:r w:rsidRPr="0025108E">
        <w:rPr>
          <w:rFonts w:cs="Arial"/>
          <w:noProof/>
          <w:sz w:val="16"/>
          <w:szCs w:val="16"/>
        </w:rPr>
        <w:t>2013; 452:321-332.</w:t>
      </w:r>
      <w:bookmarkEnd w:id="16"/>
      <w:r w:rsidR="00EF3DAC">
        <w:fldChar w:fldCharType="end"/>
      </w:r>
    </w:p>
    <w:sectPr w:rsidR="00D90E05" w:rsidRPr="00D90E05" w:rsidSect="00660395">
      <w:endnotePr>
        <w:numFmt w:val="decimal"/>
      </w:endnotePr>
      <w:pgSz w:w="11907" w:h="16839" w:code="9"/>
      <w:pgMar w:top="1304" w:right="1304" w:bottom="993" w:left="1531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516D1" w14:textId="77777777" w:rsidR="00DD0FEF" w:rsidRDefault="00DD0FEF" w:rsidP="00A515A9">
      <w:pPr>
        <w:spacing w:after="0"/>
      </w:pPr>
      <w:r>
        <w:separator/>
      </w:r>
    </w:p>
  </w:endnote>
  <w:endnote w:type="continuationSeparator" w:id="0">
    <w:p w14:paraId="11200130" w14:textId="77777777" w:rsidR="00DD0FEF" w:rsidRDefault="00DD0FEF" w:rsidP="00A515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0064C" w14:textId="77777777" w:rsidR="00DD0FEF" w:rsidRDefault="00DD0FEF" w:rsidP="00A515A9">
      <w:pPr>
        <w:spacing w:after="0"/>
      </w:pPr>
      <w:r>
        <w:separator/>
      </w:r>
    </w:p>
  </w:footnote>
  <w:footnote w:type="continuationSeparator" w:id="0">
    <w:p w14:paraId="3330E1EF" w14:textId="77777777" w:rsidR="00DD0FEF" w:rsidRDefault="00DD0FEF" w:rsidP="00A515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2401B" w14:textId="1F13C37D" w:rsidR="0032219B" w:rsidRPr="003C58EE" w:rsidRDefault="0032219B" w:rsidP="00D90E05">
    <w:pPr>
      <w:pStyle w:val="Header"/>
      <w:pBdr>
        <w:bottom w:val="single" w:sz="6" w:space="1" w:color="auto"/>
      </w:pBdr>
      <w:rPr>
        <w:i/>
      </w:rPr>
    </w:pPr>
    <w:r w:rsidRPr="003C58EE">
      <w:rPr>
        <w:i/>
      </w:rPr>
      <w:t>Drug Delivery to the Lungs, Volume 3</w:t>
    </w:r>
    <w:r w:rsidR="002B54DA">
      <w:rPr>
        <w:i/>
      </w:rPr>
      <w:t>4</w:t>
    </w:r>
    <w:r w:rsidRPr="003C58EE">
      <w:rPr>
        <w:i/>
      </w:rPr>
      <w:t>, 202</w:t>
    </w:r>
    <w:r w:rsidR="00000253">
      <w:rPr>
        <w:i/>
      </w:rPr>
      <w:t>3</w:t>
    </w:r>
    <w:r w:rsidRPr="003C58EE">
      <w:rPr>
        <w:i/>
      </w:rPr>
      <w:t xml:space="preserve">- </w:t>
    </w:r>
    <w:r w:rsidR="00000253">
      <w:fldChar w:fldCharType="begin"/>
    </w:r>
    <w:r w:rsidR="00000253">
      <w:instrText xml:space="preserve"> REF Title \h  \* MERGEFORMAT </w:instrText>
    </w:r>
    <w:r w:rsidR="00000253">
      <w:fldChar w:fldCharType="separate"/>
    </w:r>
    <w:sdt>
      <w:sdtPr>
        <w:rPr>
          <w:i/>
        </w:rPr>
        <w:alias w:val="Title"/>
        <w:tag w:val="Title"/>
        <w:id w:val="-712966800"/>
        <w:lock w:val="sdtLocked"/>
        <w:placeholder>
          <w:docPart w:val="B046F90048CB4F0380F99889E7477724"/>
        </w:placeholder>
      </w:sdtPr>
      <w:sdtEndPr>
        <w:rPr>
          <w:i w:val="0"/>
        </w:rPr>
      </w:sdtEndPr>
      <w:sdtContent>
        <w:proofErr w:type="spellStart"/>
        <w:r w:rsidRPr="00D90E05">
          <w:rPr>
            <w:i/>
          </w:rPr>
          <w:t>ObD</w:t>
        </w:r>
        <w:proofErr w:type="spellEnd"/>
        <w:r w:rsidRPr="00D90E05">
          <w:rPr>
            <w:i/>
          </w:rPr>
          <w:t xml:space="preserve"> Assisted Development of Inhalable Spray-Dried </w:t>
        </w:r>
        <w:proofErr w:type="spellStart"/>
        <w:r w:rsidRPr="00D90E05">
          <w:rPr>
            <w:i/>
          </w:rPr>
          <w:t>Procubosomal</w:t>
        </w:r>
        <w:proofErr w:type="spellEnd"/>
        <w:r w:rsidRPr="00D90E05">
          <w:rPr>
            <w:i/>
          </w:rPr>
          <w:t xml:space="preserve"> Powder Intended to be used for Lung Delivery</w:t>
        </w:r>
      </w:sdtContent>
    </w:sdt>
    <w:r w:rsidR="00000253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C6C9A" w14:textId="77777777" w:rsidR="0032219B" w:rsidRPr="00964A86" w:rsidRDefault="0032219B" w:rsidP="00964A86">
    <w:pPr>
      <w:pStyle w:val="Header"/>
      <w:pBdr>
        <w:bottom w:val="single" w:sz="6" w:space="1" w:color="auto"/>
      </w:pBdr>
      <w:rPr>
        <w:i/>
      </w:rPr>
    </w:pPr>
    <w:r>
      <w:rPr>
        <w:i/>
      </w:rPr>
      <w:t>Drug Delivery to the Lungs, Volume 34</w:t>
    </w:r>
    <w:r w:rsidRPr="00964A86">
      <w:rPr>
        <w:i/>
      </w:rPr>
      <w:t>, 20</w:t>
    </w:r>
    <w:r>
      <w:rPr>
        <w:i/>
      </w:rPr>
      <w:t>23</w:t>
    </w:r>
    <w:r w:rsidRPr="00964A86">
      <w:rPr>
        <w:i/>
      </w:rPr>
      <w:t xml:space="preserve"> - </w:t>
    </w:r>
    <w:r w:rsidR="00000253">
      <w:fldChar w:fldCharType="begin"/>
    </w:r>
    <w:r w:rsidR="00000253">
      <w:instrText xml:space="preserve"> REF Author \h  \* MERGEFORMAT </w:instrText>
    </w:r>
    <w:r w:rsidR="00000253">
      <w:fldChar w:fldCharType="separate"/>
    </w:r>
    <w:sdt>
      <w:sdtPr>
        <w:rPr>
          <w:i/>
        </w:rPr>
        <w:alias w:val="Main Author"/>
        <w:tag w:val="Main Author"/>
        <w:id w:val="-1041593484"/>
        <w:lock w:val="sdtLocked"/>
        <w:placeholder>
          <w:docPart w:val="8767CCE5C7C749C29833C80B52C2E589"/>
        </w:placeholder>
      </w:sdtPr>
      <w:sdtEndPr>
        <w:rPr>
          <w:i w:val="0"/>
        </w:rPr>
      </w:sdtEndPr>
      <w:sdtContent>
        <w:r>
          <w:rPr>
            <w:i/>
          </w:rPr>
          <w:t xml:space="preserve">Deep A. </w:t>
        </w:r>
      </w:sdtContent>
    </w:sdt>
    <w:r w:rsidR="00000253">
      <w:fldChar w:fldCharType="end"/>
    </w:r>
    <w:r w:rsidRPr="00BD7DE3">
      <w:rPr>
        <w:i/>
      </w:rPr>
      <w:t xml:space="preserve"> et al.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8BE"/>
    <w:multiLevelType w:val="singleLevel"/>
    <w:tmpl w:val="E01298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4D2838E3"/>
    <w:multiLevelType w:val="hybridMultilevel"/>
    <w:tmpl w:val="273A5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17410"/>
    <w:multiLevelType w:val="hybridMultilevel"/>
    <w:tmpl w:val="3098AA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C5B5C"/>
    <w:multiLevelType w:val="hybridMultilevel"/>
    <w:tmpl w:val="F4D2D526"/>
    <w:lvl w:ilvl="0" w:tplc="D310CAD2">
      <w:start w:val="1"/>
      <w:numFmt w:val="bullet"/>
      <w:pStyle w:val="DD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87F93"/>
    <w:multiLevelType w:val="singleLevel"/>
    <w:tmpl w:val="153E6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2694037">
    <w:abstractNumId w:val="4"/>
  </w:num>
  <w:num w:numId="2" w16cid:durableId="498345571">
    <w:abstractNumId w:val="0"/>
  </w:num>
  <w:num w:numId="3" w16cid:durableId="1582330410">
    <w:abstractNumId w:val="2"/>
  </w:num>
  <w:num w:numId="4" w16cid:durableId="922032946">
    <w:abstractNumId w:val="3"/>
  </w:num>
  <w:num w:numId="5" w16cid:durableId="1211578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7D5"/>
    <w:rsid w:val="00000253"/>
    <w:rsid w:val="0000715D"/>
    <w:rsid w:val="0001616D"/>
    <w:rsid w:val="00016641"/>
    <w:rsid w:val="00032260"/>
    <w:rsid w:val="000409EB"/>
    <w:rsid w:val="00042D62"/>
    <w:rsid w:val="00054372"/>
    <w:rsid w:val="0006467A"/>
    <w:rsid w:val="00065F8A"/>
    <w:rsid w:val="000A2590"/>
    <w:rsid w:val="000A4BE5"/>
    <w:rsid w:val="000A5A12"/>
    <w:rsid w:val="000E0F5B"/>
    <w:rsid w:val="000E77D5"/>
    <w:rsid w:val="0012224E"/>
    <w:rsid w:val="001343A7"/>
    <w:rsid w:val="00134FB6"/>
    <w:rsid w:val="001516A0"/>
    <w:rsid w:val="00160344"/>
    <w:rsid w:val="001604DB"/>
    <w:rsid w:val="00175660"/>
    <w:rsid w:val="001942DB"/>
    <w:rsid w:val="00194713"/>
    <w:rsid w:val="001B0E1B"/>
    <w:rsid w:val="001C1A34"/>
    <w:rsid w:val="001D037C"/>
    <w:rsid w:val="001D2E7A"/>
    <w:rsid w:val="001F3993"/>
    <w:rsid w:val="001F70F6"/>
    <w:rsid w:val="001F79B3"/>
    <w:rsid w:val="00212D07"/>
    <w:rsid w:val="00217845"/>
    <w:rsid w:val="00231C18"/>
    <w:rsid w:val="0024028B"/>
    <w:rsid w:val="00252D42"/>
    <w:rsid w:val="002666D8"/>
    <w:rsid w:val="00273C05"/>
    <w:rsid w:val="00283F05"/>
    <w:rsid w:val="00287EA3"/>
    <w:rsid w:val="0029067A"/>
    <w:rsid w:val="00290D4F"/>
    <w:rsid w:val="002A3E34"/>
    <w:rsid w:val="002B4591"/>
    <w:rsid w:val="002B54DA"/>
    <w:rsid w:val="002B74ED"/>
    <w:rsid w:val="002E77AE"/>
    <w:rsid w:val="002F38E3"/>
    <w:rsid w:val="0030260C"/>
    <w:rsid w:val="00311E4A"/>
    <w:rsid w:val="0031528C"/>
    <w:rsid w:val="0032219B"/>
    <w:rsid w:val="00323FE7"/>
    <w:rsid w:val="0033185B"/>
    <w:rsid w:val="0034725F"/>
    <w:rsid w:val="00387ECA"/>
    <w:rsid w:val="0039248E"/>
    <w:rsid w:val="003B1031"/>
    <w:rsid w:val="003B383B"/>
    <w:rsid w:val="003B65D1"/>
    <w:rsid w:val="003B741F"/>
    <w:rsid w:val="003C568E"/>
    <w:rsid w:val="003C58EE"/>
    <w:rsid w:val="003C6A3B"/>
    <w:rsid w:val="003D10FC"/>
    <w:rsid w:val="003D3DDE"/>
    <w:rsid w:val="003D7C47"/>
    <w:rsid w:val="003E5D10"/>
    <w:rsid w:val="003E740F"/>
    <w:rsid w:val="003F37A9"/>
    <w:rsid w:val="00404A4E"/>
    <w:rsid w:val="0040614F"/>
    <w:rsid w:val="0041018A"/>
    <w:rsid w:val="00424C98"/>
    <w:rsid w:val="00427F09"/>
    <w:rsid w:val="00442036"/>
    <w:rsid w:val="00444A63"/>
    <w:rsid w:val="004466E6"/>
    <w:rsid w:val="00447700"/>
    <w:rsid w:val="00490C5A"/>
    <w:rsid w:val="00496006"/>
    <w:rsid w:val="004A684A"/>
    <w:rsid w:val="004B2051"/>
    <w:rsid w:val="004B6D88"/>
    <w:rsid w:val="004C1847"/>
    <w:rsid w:val="004F7E1D"/>
    <w:rsid w:val="004F7F64"/>
    <w:rsid w:val="00530192"/>
    <w:rsid w:val="005302DC"/>
    <w:rsid w:val="005303CA"/>
    <w:rsid w:val="00532833"/>
    <w:rsid w:val="005357DB"/>
    <w:rsid w:val="00541F41"/>
    <w:rsid w:val="00544864"/>
    <w:rsid w:val="00544FB7"/>
    <w:rsid w:val="00552617"/>
    <w:rsid w:val="0056174D"/>
    <w:rsid w:val="00565D5A"/>
    <w:rsid w:val="00582113"/>
    <w:rsid w:val="0058564D"/>
    <w:rsid w:val="00591DC8"/>
    <w:rsid w:val="00593A46"/>
    <w:rsid w:val="00596663"/>
    <w:rsid w:val="005B5FD9"/>
    <w:rsid w:val="005D1383"/>
    <w:rsid w:val="005D441D"/>
    <w:rsid w:val="005F4472"/>
    <w:rsid w:val="006047B7"/>
    <w:rsid w:val="00613573"/>
    <w:rsid w:val="006220F6"/>
    <w:rsid w:val="006222EB"/>
    <w:rsid w:val="00623DF2"/>
    <w:rsid w:val="00631B86"/>
    <w:rsid w:val="00642787"/>
    <w:rsid w:val="00643589"/>
    <w:rsid w:val="00660395"/>
    <w:rsid w:val="00671088"/>
    <w:rsid w:val="006740D3"/>
    <w:rsid w:val="00676DA7"/>
    <w:rsid w:val="00677708"/>
    <w:rsid w:val="00683EE1"/>
    <w:rsid w:val="00686D0B"/>
    <w:rsid w:val="00697AE7"/>
    <w:rsid w:val="006A7D26"/>
    <w:rsid w:val="006B12B5"/>
    <w:rsid w:val="006B3D22"/>
    <w:rsid w:val="006B65FA"/>
    <w:rsid w:val="006E1C6F"/>
    <w:rsid w:val="006F0288"/>
    <w:rsid w:val="0070763C"/>
    <w:rsid w:val="00711C1F"/>
    <w:rsid w:val="00715F4B"/>
    <w:rsid w:val="0073320C"/>
    <w:rsid w:val="0075415F"/>
    <w:rsid w:val="00772551"/>
    <w:rsid w:val="007735FD"/>
    <w:rsid w:val="00774E51"/>
    <w:rsid w:val="00781E78"/>
    <w:rsid w:val="0078212D"/>
    <w:rsid w:val="00784010"/>
    <w:rsid w:val="00787F68"/>
    <w:rsid w:val="00793D65"/>
    <w:rsid w:val="007B2BEC"/>
    <w:rsid w:val="007B38B6"/>
    <w:rsid w:val="007D02E1"/>
    <w:rsid w:val="007D307A"/>
    <w:rsid w:val="007E2F09"/>
    <w:rsid w:val="007E4276"/>
    <w:rsid w:val="007E4351"/>
    <w:rsid w:val="00804EEB"/>
    <w:rsid w:val="008050EA"/>
    <w:rsid w:val="00821655"/>
    <w:rsid w:val="00836B77"/>
    <w:rsid w:val="00837ED2"/>
    <w:rsid w:val="008443EE"/>
    <w:rsid w:val="0084598F"/>
    <w:rsid w:val="00852676"/>
    <w:rsid w:val="00852DF6"/>
    <w:rsid w:val="00860916"/>
    <w:rsid w:val="00870B52"/>
    <w:rsid w:val="00881895"/>
    <w:rsid w:val="008A11C2"/>
    <w:rsid w:val="008A42FB"/>
    <w:rsid w:val="008B02F1"/>
    <w:rsid w:val="008B3C9F"/>
    <w:rsid w:val="008B4BF0"/>
    <w:rsid w:val="008C5C57"/>
    <w:rsid w:val="008C7F2D"/>
    <w:rsid w:val="008D115B"/>
    <w:rsid w:val="008D4D8B"/>
    <w:rsid w:val="008D7F19"/>
    <w:rsid w:val="008F2A41"/>
    <w:rsid w:val="008F4B03"/>
    <w:rsid w:val="009253EC"/>
    <w:rsid w:val="00930DA1"/>
    <w:rsid w:val="0093458B"/>
    <w:rsid w:val="00941946"/>
    <w:rsid w:val="00941F65"/>
    <w:rsid w:val="0095324F"/>
    <w:rsid w:val="00964A86"/>
    <w:rsid w:val="00966CD3"/>
    <w:rsid w:val="00974E37"/>
    <w:rsid w:val="009818AC"/>
    <w:rsid w:val="00990C1E"/>
    <w:rsid w:val="009931F4"/>
    <w:rsid w:val="00996628"/>
    <w:rsid w:val="009A0009"/>
    <w:rsid w:val="009A1638"/>
    <w:rsid w:val="009A4453"/>
    <w:rsid w:val="009A52B9"/>
    <w:rsid w:val="009A5E01"/>
    <w:rsid w:val="009B4217"/>
    <w:rsid w:val="009C6C08"/>
    <w:rsid w:val="009D1A31"/>
    <w:rsid w:val="009D1CB7"/>
    <w:rsid w:val="009D5953"/>
    <w:rsid w:val="009D77B3"/>
    <w:rsid w:val="009E7542"/>
    <w:rsid w:val="00A0358B"/>
    <w:rsid w:val="00A13504"/>
    <w:rsid w:val="00A14F14"/>
    <w:rsid w:val="00A3278F"/>
    <w:rsid w:val="00A41AA2"/>
    <w:rsid w:val="00A46DAE"/>
    <w:rsid w:val="00A515A9"/>
    <w:rsid w:val="00A67298"/>
    <w:rsid w:val="00A94905"/>
    <w:rsid w:val="00A97E64"/>
    <w:rsid w:val="00AA1175"/>
    <w:rsid w:val="00AA2DED"/>
    <w:rsid w:val="00AA74BE"/>
    <w:rsid w:val="00AB1467"/>
    <w:rsid w:val="00AC04A2"/>
    <w:rsid w:val="00AD115D"/>
    <w:rsid w:val="00B122AD"/>
    <w:rsid w:val="00B220B8"/>
    <w:rsid w:val="00B2402A"/>
    <w:rsid w:val="00B25B95"/>
    <w:rsid w:val="00B40D7F"/>
    <w:rsid w:val="00B412B3"/>
    <w:rsid w:val="00B42A7F"/>
    <w:rsid w:val="00B5120E"/>
    <w:rsid w:val="00B54843"/>
    <w:rsid w:val="00B55646"/>
    <w:rsid w:val="00B719D1"/>
    <w:rsid w:val="00B804AB"/>
    <w:rsid w:val="00B837EB"/>
    <w:rsid w:val="00B86B6F"/>
    <w:rsid w:val="00B906A5"/>
    <w:rsid w:val="00B94313"/>
    <w:rsid w:val="00BA18EA"/>
    <w:rsid w:val="00BB20A3"/>
    <w:rsid w:val="00BB2738"/>
    <w:rsid w:val="00BB33A4"/>
    <w:rsid w:val="00BC0021"/>
    <w:rsid w:val="00BC0549"/>
    <w:rsid w:val="00BC30C2"/>
    <w:rsid w:val="00BC3B49"/>
    <w:rsid w:val="00BD68AD"/>
    <w:rsid w:val="00BD70D3"/>
    <w:rsid w:val="00BD7DE3"/>
    <w:rsid w:val="00C0283C"/>
    <w:rsid w:val="00C02B85"/>
    <w:rsid w:val="00C0392D"/>
    <w:rsid w:val="00C1040E"/>
    <w:rsid w:val="00C126B9"/>
    <w:rsid w:val="00C543B6"/>
    <w:rsid w:val="00C5513E"/>
    <w:rsid w:val="00C55E63"/>
    <w:rsid w:val="00C65A37"/>
    <w:rsid w:val="00C6681A"/>
    <w:rsid w:val="00C66E07"/>
    <w:rsid w:val="00C82A7D"/>
    <w:rsid w:val="00C92BFC"/>
    <w:rsid w:val="00C974E1"/>
    <w:rsid w:val="00CC1B69"/>
    <w:rsid w:val="00CE39C8"/>
    <w:rsid w:val="00CE70C8"/>
    <w:rsid w:val="00CF24A7"/>
    <w:rsid w:val="00CF7D1B"/>
    <w:rsid w:val="00D0036B"/>
    <w:rsid w:val="00D075F7"/>
    <w:rsid w:val="00D1209B"/>
    <w:rsid w:val="00D156FE"/>
    <w:rsid w:val="00D23C41"/>
    <w:rsid w:val="00D26210"/>
    <w:rsid w:val="00D378B4"/>
    <w:rsid w:val="00D41A7C"/>
    <w:rsid w:val="00D43204"/>
    <w:rsid w:val="00D47884"/>
    <w:rsid w:val="00D54376"/>
    <w:rsid w:val="00D566D3"/>
    <w:rsid w:val="00D67A60"/>
    <w:rsid w:val="00D74F0A"/>
    <w:rsid w:val="00D85CE6"/>
    <w:rsid w:val="00D90E05"/>
    <w:rsid w:val="00D93537"/>
    <w:rsid w:val="00D9655E"/>
    <w:rsid w:val="00DB349E"/>
    <w:rsid w:val="00DC7D69"/>
    <w:rsid w:val="00DD0FEF"/>
    <w:rsid w:val="00DD4A2D"/>
    <w:rsid w:val="00DD5EB8"/>
    <w:rsid w:val="00DE0973"/>
    <w:rsid w:val="00DE53F7"/>
    <w:rsid w:val="00DE6AE7"/>
    <w:rsid w:val="00DF1745"/>
    <w:rsid w:val="00DF392A"/>
    <w:rsid w:val="00E00624"/>
    <w:rsid w:val="00E108CE"/>
    <w:rsid w:val="00E14DBF"/>
    <w:rsid w:val="00E303C2"/>
    <w:rsid w:val="00E42945"/>
    <w:rsid w:val="00E44DA6"/>
    <w:rsid w:val="00E51903"/>
    <w:rsid w:val="00E60959"/>
    <w:rsid w:val="00E62590"/>
    <w:rsid w:val="00E811B4"/>
    <w:rsid w:val="00E92FCA"/>
    <w:rsid w:val="00E9667D"/>
    <w:rsid w:val="00E97489"/>
    <w:rsid w:val="00EA530D"/>
    <w:rsid w:val="00EC2143"/>
    <w:rsid w:val="00EC432A"/>
    <w:rsid w:val="00ED747C"/>
    <w:rsid w:val="00EE7503"/>
    <w:rsid w:val="00EF3DAC"/>
    <w:rsid w:val="00F15D45"/>
    <w:rsid w:val="00F20F19"/>
    <w:rsid w:val="00F2495D"/>
    <w:rsid w:val="00F27E20"/>
    <w:rsid w:val="00F3080A"/>
    <w:rsid w:val="00F36470"/>
    <w:rsid w:val="00F435EA"/>
    <w:rsid w:val="00F81BEE"/>
    <w:rsid w:val="00FA6F23"/>
    <w:rsid w:val="00FC33BA"/>
    <w:rsid w:val="00FD125D"/>
    <w:rsid w:val="00FE2845"/>
    <w:rsid w:val="00FE2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AA8D01"/>
  <w15:docId w15:val="{35FCAD63-9D26-46F9-A93A-C6C4618E1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D77B3"/>
    <w:pPr>
      <w:spacing w:after="180"/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autoRedefine/>
    <w:uiPriority w:val="9"/>
    <w:rsid w:val="00565D5A"/>
    <w:pPr>
      <w:keepNext/>
      <w:spacing w:before="3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rsid w:val="00BD68AD"/>
    <w:pPr>
      <w:keepNext/>
      <w:outlineLvl w:val="1"/>
    </w:pPr>
    <w:rPr>
      <w:rFonts w:ascii="Times New Roman" w:hAnsi="Times New Roman"/>
      <w:b/>
      <w:i/>
      <w:sz w:val="22"/>
      <w:lang w:eastAsia="en-US"/>
    </w:rPr>
  </w:style>
  <w:style w:type="paragraph" w:styleId="Heading3">
    <w:name w:val="heading 3"/>
    <w:basedOn w:val="Normal"/>
    <w:next w:val="Normal"/>
    <w:rsid w:val="008D115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D5EB8"/>
    <w:rPr>
      <w:color w:val="0563C1"/>
      <w:u w:val="single"/>
    </w:rPr>
  </w:style>
  <w:style w:type="paragraph" w:customStyle="1" w:styleId="DDLTitle">
    <w:name w:val="DDL_Title"/>
    <w:basedOn w:val="Title"/>
    <w:next w:val="DDLSubtitle"/>
    <w:qFormat/>
    <w:rsid w:val="00AD115D"/>
    <w:pPr>
      <w:spacing w:before="0" w:after="280"/>
    </w:pPr>
    <w:rPr>
      <w:rFonts w:ascii="Arial" w:hAnsi="Arial"/>
      <w:sz w:val="18"/>
    </w:rPr>
  </w:style>
  <w:style w:type="paragraph" w:customStyle="1" w:styleId="DDLSubtitle">
    <w:name w:val="DDL_Subtitle"/>
    <w:basedOn w:val="Subtitle"/>
    <w:next w:val="DDLAddress1"/>
    <w:qFormat/>
    <w:rsid w:val="00AD115D"/>
    <w:pPr>
      <w:spacing w:after="180"/>
    </w:pPr>
    <w:rPr>
      <w:rFonts w:ascii="Arial" w:hAnsi="Arial"/>
      <w:b/>
      <w:sz w:val="18"/>
    </w:rPr>
  </w:style>
  <w:style w:type="paragraph" w:styleId="Title">
    <w:name w:val="Title"/>
    <w:basedOn w:val="Normal"/>
    <w:next w:val="Normal"/>
    <w:link w:val="TitleChar"/>
    <w:uiPriority w:val="10"/>
    <w:rsid w:val="00AD115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565D5A"/>
    <w:rPr>
      <w:rFonts w:ascii="Arial" w:eastAsia="Times New Roman" w:hAnsi="Arial" w:cs="Times New Roman"/>
      <w:b/>
      <w:bCs/>
      <w:kern w:val="32"/>
      <w:sz w:val="18"/>
      <w:szCs w:val="32"/>
    </w:rPr>
  </w:style>
  <w:style w:type="character" w:customStyle="1" w:styleId="TitleChar">
    <w:name w:val="Title Char"/>
    <w:link w:val="Title"/>
    <w:uiPriority w:val="10"/>
    <w:rsid w:val="00AD115D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AD115D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AD115D"/>
    <w:rPr>
      <w:rFonts w:ascii="Calibri Light" w:eastAsia="Times New Roman" w:hAnsi="Calibri Light" w:cs="Times New Roman"/>
      <w:sz w:val="24"/>
      <w:szCs w:val="24"/>
    </w:rPr>
  </w:style>
  <w:style w:type="paragraph" w:customStyle="1" w:styleId="DDLAddress1">
    <w:name w:val="DDL_Address1"/>
    <w:basedOn w:val="DDLSubtitle"/>
    <w:next w:val="DDLAddress2"/>
    <w:qFormat/>
    <w:rsid w:val="00AD115D"/>
    <w:pPr>
      <w:spacing w:after="60"/>
    </w:pPr>
    <w:rPr>
      <w:b w:val="0"/>
    </w:rPr>
  </w:style>
  <w:style w:type="paragraph" w:customStyle="1" w:styleId="DDLAddress2">
    <w:name w:val="DDL_Address2"/>
    <w:basedOn w:val="DDLAddress1"/>
    <w:next w:val="DDLHeading1"/>
    <w:qFormat/>
    <w:rsid w:val="00AD115D"/>
    <w:pPr>
      <w:spacing w:after="280"/>
    </w:pPr>
  </w:style>
  <w:style w:type="paragraph" w:customStyle="1" w:styleId="DDLBodyText">
    <w:name w:val="DDL_BodyText"/>
    <w:basedOn w:val="Normal"/>
    <w:qFormat/>
    <w:rsid w:val="00D156FE"/>
  </w:style>
  <w:style w:type="paragraph" w:customStyle="1" w:styleId="DDLBullets">
    <w:name w:val="DDL_Bullets"/>
    <w:basedOn w:val="Normal"/>
    <w:qFormat/>
    <w:rsid w:val="00D156FE"/>
    <w:pPr>
      <w:numPr>
        <w:numId w:val="4"/>
      </w:numPr>
      <w:tabs>
        <w:tab w:val="left" w:pos="567"/>
        <w:tab w:val="left" w:pos="1701"/>
      </w:tabs>
      <w:spacing w:after="60"/>
      <w:ind w:left="568" w:hanging="284"/>
    </w:pPr>
  </w:style>
  <w:style w:type="paragraph" w:customStyle="1" w:styleId="DDLHeading1">
    <w:name w:val="DDL_Heading1"/>
    <w:basedOn w:val="Heading1"/>
    <w:next w:val="DDLBodyText"/>
    <w:qFormat/>
    <w:rsid w:val="00D156FE"/>
    <w:pPr>
      <w:spacing w:before="280"/>
    </w:pPr>
  </w:style>
  <w:style w:type="character" w:customStyle="1" w:styleId="DDLEmphasis">
    <w:name w:val="DDL_Emphasis"/>
    <w:qFormat/>
    <w:rsid w:val="00821655"/>
    <w:rPr>
      <w:rFonts w:ascii="Arial Black" w:hAnsi="Arial Black"/>
      <w:b w:val="0"/>
      <w:color w:val="595959"/>
      <w:sz w:val="18"/>
    </w:rPr>
  </w:style>
  <w:style w:type="character" w:styleId="CommentReference">
    <w:name w:val="annotation reference"/>
    <w:uiPriority w:val="99"/>
    <w:semiHidden/>
    <w:unhideWhenUsed/>
    <w:rsid w:val="00953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324F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95324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24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5324F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24F"/>
    <w:pPr>
      <w:spacing w:after="0"/>
    </w:pPr>
    <w:rPr>
      <w:rFonts w:ascii="Segoe UI" w:hAnsi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324F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324F"/>
    <w:rPr>
      <w:b/>
      <w:bCs/>
      <w:sz w:val="20"/>
    </w:rPr>
  </w:style>
  <w:style w:type="paragraph" w:customStyle="1" w:styleId="DDLCaption">
    <w:name w:val="DDL_Caption"/>
    <w:basedOn w:val="Caption"/>
    <w:next w:val="Normal"/>
    <w:qFormat/>
    <w:rsid w:val="0095324F"/>
    <w:pPr>
      <w:tabs>
        <w:tab w:val="left" w:pos="851"/>
      </w:tabs>
    </w:pPr>
    <w:rPr>
      <w:sz w:val="16"/>
      <w:szCs w:val="16"/>
    </w:rPr>
  </w:style>
  <w:style w:type="paragraph" w:customStyle="1" w:styleId="DDLFigure">
    <w:name w:val="DDL_Figure"/>
    <w:basedOn w:val="Normal"/>
    <w:qFormat/>
    <w:rsid w:val="00DF392A"/>
    <w:pPr>
      <w:keepNext/>
      <w:spacing w:after="100"/>
      <w:ind w:left="85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15A9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A515A9"/>
    <w:rPr>
      <w:rFonts w:ascii="Arial" w:hAnsi="Arial"/>
    </w:rPr>
  </w:style>
  <w:style w:type="character" w:styleId="EndnoteReference">
    <w:name w:val="endnote reference"/>
    <w:uiPriority w:val="99"/>
    <w:semiHidden/>
    <w:unhideWhenUsed/>
    <w:rsid w:val="00A515A9"/>
    <w:rPr>
      <w:vertAlign w:val="superscript"/>
    </w:rPr>
  </w:style>
  <w:style w:type="character" w:customStyle="1" w:styleId="DDLReferenceSuperscript">
    <w:name w:val="DDL_ReferenceSuperscript"/>
    <w:rsid w:val="00A515A9"/>
    <w:rPr>
      <w:vertAlign w:val="superscript"/>
    </w:rPr>
  </w:style>
  <w:style w:type="paragraph" w:customStyle="1" w:styleId="DDLReferences">
    <w:name w:val="DDL_References"/>
    <w:basedOn w:val="EndnoteText"/>
    <w:rsid w:val="00930DA1"/>
    <w:pPr>
      <w:tabs>
        <w:tab w:val="left" w:pos="284"/>
      </w:tabs>
      <w:ind w:left="284" w:hanging="284"/>
      <w:jc w:val="left"/>
    </w:pPr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126B9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126B9"/>
    <w:rPr>
      <w:rFonts w:ascii="Arial" w:hAnsi="Arial"/>
      <w:sz w:val="18"/>
    </w:rPr>
  </w:style>
  <w:style w:type="character" w:styleId="PlaceholderText">
    <w:name w:val="Placeholder Text"/>
    <w:basedOn w:val="DefaultParagraphFont"/>
    <w:uiPriority w:val="99"/>
    <w:semiHidden/>
    <w:rsid w:val="00160344"/>
    <w:rPr>
      <w:color w:val="808080"/>
    </w:rPr>
  </w:style>
  <w:style w:type="character" w:styleId="Strong">
    <w:name w:val="Strong"/>
    <w:uiPriority w:val="22"/>
    <w:qFormat/>
    <w:rsid w:val="00E14DBF"/>
    <w:rPr>
      <w:b/>
      <w:bCs/>
    </w:rPr>
  </w:style>
  <w:style w:type="paragraph" w:styleId="Revision">
    <w:name w:val="Revision"/>
    <w:hidden/>
    <w:uiPriority w:val="99"/>
    <w:semiHidden/>
    <w:rsid w:val="000A5A12"/>
    <w:rPr>
      <w:rFonts w:ascii="Arial" w:hAnsi="Arial"/>
      <w:sz w:val="18"/>
    </w:rPr>
  </w:style>
  <w:style w:type="table" w:styleId="TableGrid">
    <w:name w:val="Table Grid"/>
    <w:basedOn w:val="TableNormal"/>
    <w:uiPriority w:val="59"/>
    <w:rsid w:val="00D90E05"/>
    <w:rPr>
      <w:rFonts w:asciiTheme="minorHAnsi" w:eastAsiaTheme="minorHAnsi" w:hAnsiTheme="minorHAnsi" w:cstheme="minorBidi"/>
      <w:sz w:val="22"/>
      <w:szCs w:val="22"/>
      <w:lang w:val="en-US" w:eastAsia="en-US" w:bidi="pa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tif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93874C70D8C44D6B0BA71800E086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5F09-29C6-4D1A-89F1-59EE4CB6303B}"/>
      </w:docPartPr>
      <w:docPartBody>
        <w:p w:rsidR="004A5D97" w:rsidRDefault="00623571" w:rsidP="00623571">
          <w:pPr>
            <w:pStyle w:val="F93874C70D8C44D6B0BA71800E08656C4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38BA82FFF2774C26AC6862CFB8BB5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EA8B4-C61A-4653-9C63-BB7ECA0F24DD}"/>
      </w:docPartPr>
      <w:docPartBody>
        <w:p w:rsidR="004A5D97" w:rsidRDefault="00623571" w:rsidP="00623571">
          <w:pPr>
            <w:pStyle w:val="38BA82FFF2774C26AC6862CFB8BB55DB3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8767CCE5C7C749C29833C80B52C2E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66B6F-D2F5-4631-A24F-ED1C9CE7FD41}"/>
      </w:docPartPr>
      <w:docPartBody>
        <w:p w:rsidR="004A5D97" w:rsidRDefault="00623571" w:rsidP="00623571">
          <w:pPr>
            <w:pStyle w:val="8767CCE5C7C749C29833C80B52C2E5891"/>
          </w:pPr>
          <w:r w:rsidRPr="00964A86">
            <w:rPr>
              <w:rStyle w:val="PlaceholderText"/>
              <w:i/>
              <w:color w:val="auto"/>
            </w:rPr>
            <w:t>Main Author</w:t>
          </w:r>
        </w:p>
      </w:docPartBody>
    </w:docPart>
    <w:docPart>
      <w:docPartPr>
        <w:name w:val="B046F90048CB4F0380F99889E7477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9EF43-5889-458B-9270-ECE830BAB608}"/>
      </w:docPartPr>
      <w:docPartBody>
        <w:p w:rsidR="004A5D97" w:rsidRDefault="00623571" w:rsidP="00623571">
          <w:pPr>
            <w:pStyle w:val="B046F90048CB4F0380F99889E7477724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571"/>
    <w:rsid w:val="00074500"/>
    <w:rsid w:val="00083684"/>
    <w:rsid w:val="00134A2D"/>
    <w:rsid w:val="001703F7"/>
    <w:rsid w:val="00194847"/>
    <w:rsid w:val="001B29BE"/>
    <w:rsid w:val="001D4D96"/>
    <w:rsid w:val="003009AF"/>
    <w:rsid w:val="0040399D"/>
    <w:rsid w:val="00423AC4"/>
    <w:rsid w:val="004A5D97"/>
    <w:rsid w:val="005025F8"/>
    <w:rsid w:val="00623571"/>
    <w:rsid w:val="0077263E"/>
    <w:rsid w:val="00943A37"/>
    <w:rsid w:val="009F0831"/>
    <w:rsid w:val="00AD0A82"/>
    <w:rsid w:val="00B01474"/>
    <w:rsid w:val="00C01748"/>
    <w:rsid w:val="00CF1D98"/>
    <w:rsid w:val="00DB04D1"/>
    <w:rsid w:val="00E60656"/>
    <w:rsid w:val="00F95E63"/>
    <w:rsid w:val="00FA636D"/>
    <w:rsid w:val="00FB16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636D"/>
    <w:rPr>
      <w:color w:val="808080"/>
    </w:rPr>
  </w:style>
  <w:style w:type="paragraph" w:customStyle="1" w:styleId="F93874C70D8C44D6B0BA71800E08656C4">
    <w:name w:val="F93874C70D8C44D6B0BA71800E08656C4"/>
    <w:rsid w:val="00623571"/>
    <w:pPr>
      <w:spacing w:after="28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18"/>
      <w:szCs w:val="32"/>
    </w:rPr>
  </w:style>
  <w:style w:type="paragraph" w:customStyle="1" w:styleId="38BA82FFF2774C26AC6862CFB8BB55DB3">
    <w:name w:val="38BA82FFF2774C26AC6862CFB8BB55DB3"/>
    <w:rsid w:val="00623571"/>
    <w:pPr>
      <w:spacing w:after="180" w:line="240" w:lineRule="auto"/>
      <w:jc w:val="center"/>
      <w:outlineLvl w:val="1"/>
    </w:pPr>
    <w:rPr>
      <w:rFonts w:ascii="Arial" w:eastAsia="Times New Roman" w:hAnsi="Arial" w:cs="Times New Roman"/>
      <w:b/>
      <w:sz w:val="18"/>
      <w:szCs w:val="24"/>
    </w:rPr>
  </w:style>
  <w:style w:type="paragraph" w:customStyle="1" w:styleId="8767CCE5C7C749C29833C80B52C2E5891">
    <w:name w:val="8767CCE5C7C749C29833C80B52C2E5891"/>
    <w:rsid w:val="00623571"/>
    <w:pPr>
      <w:tabs>
        <w:tab w:val="center" w:pos="4513"/>
        <w:tab w:val="right" w:pos="9026"/>
      </w:tabs>
      <w:spacing w:after="18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B046F90048CB4F0380F99889E7477724">
    <w:name w:val="B046F90048CB4F0380F99889E7477724"/>
    <w:rsid w:val="006235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259E3E31D224CBC1D2EE3CF76D9A2" ma:contentTypeVersion="17" ma:contentTypeDescription="Create a new document." ma:contentTypeScope="" ma:versionID="320f9be5622f2c3bbae300052da4358e">
  <xsd:schema xmlns:xsd="http://www.w3.org/2001/XMLSchema" xmlns:xs="http://www.w3.org/2001/XMLSchema" xmlns:p="http://schemas.microsoft.com/office/2006/metadata/properties" xmlns:ns2="64c78038-89ac-4195-83e1-1279128b6e0c" xmlns:ns3="00022fe9-26d9-4c31-8678-3a6eabb28834" targetNamespace="http://schemas.microsoft.com/office/2006/metadata/properties" ma:root="true" ma:fieldsID="c9c78a53216fb7b5b604c44046959057" ns2:_="" ns3:_="">
    <xsd:import namespace="64c78038-89ac-4195-83e1-1279128b6e0c"/>
    <xsd:import namespace="00022fe9-26d9-4c31-8678-3a6eabb28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78038-89ac-4195-83e1-1279128b6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76672f0-0c0c-4f0d-ba1c-f52cb396b3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22fe9-26d9-4c31-8678-3a6eabb28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0154c5-9d40-4264-885d-38a3ec9d1022}" ma:internalName="TaxCatchAll" ma:showField="CatchAllData" ma:web="00022fe9-26d9-4c31-8678-3a6eabb28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022fe9-26d9-4c31-8678-3a6eabb28834" xsi:nil="true"/>
    <lcf76f155ced4ddcb4097134ff3c332f xmlns="64c78038-89ac-4195-83e1-1279128b6e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A5D22E-BE9C-4A4D-97B4-7D4C5D48F5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3DA7E3-B379-42A1-A1F2-D07610AE2B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c78038-89ac-4195-83e1-1279128b6e0c"/>
    <ds:schemaRef ds:uri="00022fe9-26d9-4c31-8678-3a6eabb28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D06E51-7048-44CF-A7B4-9F7D6D30CF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30BD7A-820B-4079-A950-7F0AAC772676}">
  <ds:schemaRefs>
    <ds:schemaRef ds:uri="http://schemas.microsoft.com/office/2006/metadata/properties"/>
    <ds:schemaRef ds:uri="http://schemas.microsoft.com/office/infopath/2007/PartnerControls"/>
    <ds:schemaRef ds:uri="00022fe9-26d9-4c31-8678-3a6eabb28834"/>
    <ds:schemaRef ds:uri="64c78038-89ac-4195-83e1-1279128b6e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3265</Words>
  <Characters>18614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Drug Delivery to the Lungs 20</vt:lpstr>
      <vt:lpstr>Drug Delivery to the Lungs 20</vt:lpstr>
    </vt:vector>
  </TitlesOfParts>
  <Company>3M</Company>
  <LinksUpToDate>false</LinksUpToDate>
  <CharactersWithSpaces>21836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 Delivery to the Lungs 20</dc:title>
  <dc:creator>UK000470</dc:creator>
  <cp:lastModifiedBy>Nikki Evans</cp:lastModifiedBy>
  <cp:revision>4</cp:revision>
  <cp:lastPrinted>2015-06-18T14:58:00Z</cp:lastPrinted>
  <dcterms:created xsi:type="dcterms:W3CDTF">2023-10-13T17:05:00Z</dcterms:created>
  <dcterms:modified xsi:type="dcterms:W3CDTF">2023-10-16T09:22:00Z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0x0101009EF259E3E31D224CBC1D2EE3CF76D9A2</vt:lpwstr>
  </property>
  <property fmtid="{D5CDD505-2E9C-101B-9397-08002B2CF9AE}" pid="3" name="MediaServiceImageTags">
    <vt:lpwstr/>
  </property>
</Properties>
</file>