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7DE3D8D6" w:rsidR="000E77D5" w:rsidRPr="00160344" w:rsidRDefault="00690572" w:rsidP="00AD115D">
      <w:pPr>
        <w:pStyle w:val="DDLTitle"/>
      </w:pPr>
      <w:sdt>
        <w:sdtPr>
          <w:alias w:val="Title"/>
          <w:tag w:val="Title"/>
          <w:id w:val="-912845432"/>
          <w:lock w:val="sdtLocked"/>
          <w:placeholder>
            <w:docPart w:val="F93874C70D8C44D6B0BA71800E08656C"/>
          </w:placeholder>
        </w:sdtPr>
        <w:sdtEndPr/>
        <w:sdtContent>
          <w:r w:rsidR="005067FC">
            <w:t>In Silico Modelling to Ai</w:t>
          </w:r>
          <w:r w:rsidR="006714F0">
            <w:t>d</w:t>
          </w:r>
          <w:r w:rsidR="005067FC">
            <w:t xml:space="preserve"> Product Development Strategies for Low G</w:t>
          </w:r>
          <w:r w:rsidR="007064E6">
            <w:t>lobal Warming Potential Metered Dose Inhalers</w:t>
          </w:r>
        </w:sdtContent>
      </w:sdt>
      <w:bookmarkEnd w:id="0"/>
      <w:r w:rsidR="00881895">
        <w:t xml:space="preserve"> </w:t>
      </w:r>
    </w:p>
    <w:bookmarkStart w:id="1" w:name="Author"/>
    <w:p w14:paraId="57DCC0EC" w14:textId="7FCA5A48" w:rsidR="00C65A37" w:rsidRPr="00AD115D" w:rsidRDefault="00690572"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5067FC">
            <w:rPr>
              <w:u w:val="single"/>
            </w:rPr>
            <w:t>Neha Patel</w:t>
          </w:r>
        </w:sdtContent>
      </w:sdt>
      <w:bookmarkEnd w:id="1"/>
      <w:r w:rsidR="00676DA7" w:rsidRPr="00AD115D">
        <w:rPr>
          <w:vertAlign w:val="superscript"/>
        </w:rPr>
        <w:t>1</w:t>
      </w:r>
      <w:r w:rsidR="005067FC">
        <w:t xml:space="preserve"> &amp;</w:t>
      </w:r>
      <w:r w:rsidR="00676DA7" w:rsidRPr="00AD115D">
        <w:t xml:space="preserve"> </w:t>
      </w:r>
      <w:r w:rsidR="005067FC">
        <w:t>Alexander Richford</w:t>
      </w:r>
      <w:r w:rsidR="005067FC">
        <w:rPr>
          <w:vertAlign w:val="superscript"/>
        </w:rPr>
        <w:t>1</w:t>
      </w:r>
    </w:p>
    <w:p w14:paraId="57DCC0ED" w14:textId="28DA2810" w:rsidR="00C65A37" w:rsidRPr="00BD68AD" w:rsidRDefault="005067FC" w:rsidP="00AD115D">
      <w:pPr>
        <w:pStyle w:val="DDLAddress1"/>
      </w:pPr>
      <w:r w:rsidRPr="002B5782">
        <w:rPr>
          <w:rFonts w:cs="Arial"/>
          <w:sz w:val="20"/>
          <w:szCs w:val="20"/>
          <w:vertAlign w:val="superscript"/>
        </w:rPr>
        <w:t>1</w:t>
      </w:r>
      <w:r w:rsidRPr="002B5782">
        <w:rPr>
          <w:rFonts w:cs="Arial"/>
          <w:sz w:val="20"/>
          <w:szCs w:val="20"/>
        </w:rPr>
        <w:t>Kindeva</w:t>
      </w:r>
      <w:r>
        <w:rPr>
          <w:rFonts w:cs="Arial"/>
          <w:sz w:val="20"/>
          <w:szCs w:val="20"/>
        </w:rPr>
        <w:t xml:space="preserve"> Drug Delivery Ltd.</w:t>
      </w:r>
      <w:r w:rsidRPr="002B5782">
        <w:rPr>
          <w:rFonts w:cs="Arial"/>
          <w:sz w:val="20"/>
          <w:szCs w:val="20"/>
        </w:rPr>
        <w:t>, Derby Road, Loughborough, Leicestershire, LE11 5SF, United Kingdom</w:t>
      </w:r>
    </w:p>
    <w:p w14:paraId="57DCC0EF" w14:textId="77777777" w:rsidR="00C65A37" w:rsidRPr="00582113" w:rsidRDefault="00C65A37" w:rsidP="00D156FE">
      <w:pPr>
        <w:pStyle w:val="DDLHeading1"/>
        <w:rPr>
          <w:sz w:val="20"/>
          <w:szCs w:val="20"/>
        </w:rPr>
      </w:pPr>
      <w:r w:rsidRPr="00582113">
        <w:rPr>
          <w:sz w:val="20"/>
          <w:szCs w:val="20"/>
        </w:rPr>
        <w:t>Summary</w:t>
      </w:r>
    </w:p>
    <w:p w14:paraId="297999CA" w14:textId="21EA0A73" w:rsidR="005067FC" w:rsidRPr="000A70D3" w:rsidRDefault="005067FC" w:rsidP="005067FC">
      <w:pPr>
        <w:rPr>
          <w:rFonts w:cs="Arial"/>
          <w:sz w:val="20"/>
        </w:rPr>
      </w:pPr>
      <w:r w:rsidRPr="000A70D3">
        <w:rPr>
          <w:rFonts w:cs="Arial"/>
          <w:sz w:val="20"/>
        </w:rPr>
        <w:t xml:space="preserve">The current expectation is that new </w:t>
      </w:r>
      <w:r w:rsidR="008C13EF" w:rsidRPr="000A70D3">
        <w:rPr>
          <w:rFonts w:cs="Arial"/>
          <w:sz w:val="20"/>
        </w:rPr>
        <w:t>metered dose inhalers (</w:t>
      </w:r>
      <w:r w:rsidRPr="000A70D3">
        <w:rPr>
          <w:rFonts w:cs="Arial"/>
          <w:sz w:val="20"/>
        </w:rPr>
        <w:t>MDIs</w:t>
      </w:r>
      <w:r w:rsidR="008C13EF" w:rsidRPr="000A70D3">
        <w:rPr>
          <w:rFonts w:cs="Arial"/>
          <w:sz w:val="20"/>
        </w:rPr>
        <w:t>)</w:t>
      </w:r>
      <w:r w:rsidRPr="000A70D3">
        <w:rPr>
          <w:rFonts w:cs="Arial"/>
          <w:sz w:val="20"/>
        </w:rPr>
        <w:t xml:space="preserve"> containing existing drug substances </w:t>
      </w:r>
      <w:r w:rsidR="006714F0" w:rsidRPr="000A70D3">
        <w:rPr>
          <w:rFonts w:cs="Arial"/>
          <w:sz w:val="20"/>
        </w:rPr>
        <w:t>re-</w:t>
      </w:r>
      <w:r w:rsidRPr="000A70D3">
        <w:rPr>
          <w:rFonts w:cs="Arial"/>
          <w:sz w:val="20"/>
        </w:rPr>
        <w:t xml:space="preserve">formulated with alternative low global warming potential (GWP) propellants (HFA-152a and HFO-1234ze) will have similar in-vitro and/or </w:t>
      </w:r>
      <w:r w:rsidR="008C13EF" w:rsidRPr="000A70D3">
        <w:rPr>
          <w:rFonts w:cs="Arial"/>
          <w:sz w:val="20"/>
        </w:rPr>
        <w:t>p</w:t>
      </w:r>
      <w:r w:rsidR="00904130" w:rsidRPr="000A70D3">
        <w:rPr>
          <w:rFonts w:cs="Arial"/>
          <w:sz w:val="20"/>
        </w:rPr>
        <w:t>harmacokinetic (</w:t>
      </w:r>
      <w:r w:rsidRPr="000A70D3">
        <w:rPr>
          <w:rFonts w:cs="Arial"/>
          <w:sz w:val="20"/>
        </w:rPr>
        <w:t>PK</w:t>
      </w:r>
      <w:r w:rsidR="00904130" w:rsidRPr="000A70D3">
        <w:rPr>
          <w:rFonts w:cs="Arial"/>
          <w:sz w:val="20"/>
        </w:rPr>
        <w:t>)</w:t>
      </w:r>
      <w:r w:rsidRPr="000A70D3">
        <w:rPr>
          <w:rFonts w:cs="Arial"/>
          <w:sz w:val="20"/>
        </w:rPr>
        <w:t xml:space="preserve"> performance to the already-approved </w:t>
      </w:r>
      <w:r w:rsidR="001735D7" w:rsidRPr="000A70D3">
        <w:rPr>
          <w:rFonts w:cs="Arial"/>
          <w:sz w:val="20"/>
        </w:rPr>
        <w:t xml:space="preserve">HFA-134a and HFA-227 reference </w:t>
      </w:r>
      <w:r w:rsidRPr="000A70D3">
        <w:rPr>
          <w:rFonts w:cs="Arial"/>
          <w:sz w:val="20"/>
        </w:rPr>
        <w:t>products. In-silico PK modelling provides a development tool for predicting which new product configurations are most likely to be comparable to existing products. Preludium™ has been used to calculate lung regional deposition from clinically relevant in-vitro cascade data, which in turn has been used to develop a</w:t>
      </w:r>
      <w:r w:rsidR="002E2EE8" w:rsidRPr="000A70D3">
        <w:rPr>
          <w:rFonts w:cs="Arial"/>
          <w:sz w:val="20"/>
        </w:rPr>
        <w:t>n inhalation</w:t>
      </w:r>
      <w:r w:rsidRPr="000A70D3">
        <w:rPr>
          <w:rFonts w:cs="Arial"/>
          <w:sz w:val="20"/>
        </w:rPr>
        <w:t xml:space="preserve"> PK model for </w:t>
      </w:r>
      <w:r w:rsidR="00981FE9" w:rsidRPr="000A70D3">
        <w:rPr>
          <w:rFonts w:cs="Arial"/>
          <w:sz w:val="20"/>
        </w:rPr>
        <w:t>salbutamol</w:t>
      </w:r>
      <w:r w:rsidR="002E2EE8" w:rsidRPr="000A70D3">
        <w:rPr>
          <w:rFonts w:cs="Arial"/>
          <w:sz w:val="20"/>
        </w:rPr>
        <w:t xml:space="preserve"> products</w:t>
      </w:r>
      <w:r w:rsidR="00357B39">
        <w:rPr>
          <w:rFonts w:cs="Arial"/>
          <w:sz w:val="20"/>
        </w:rPr>
        <w:t xml:space="preserve"> that</w:t>
      </w:r>
      <w:r w:rsidRPr="000A70D3">
        <w:rPr>
          <w:rFonts w:cs="Arial"/>
          <w:sz w:val="20"/>
        </w:rPr>
        <w:t xml:space="preserve"> can predict </w:t>
      </w:r>
      <w:r w:rsidR="009C7288" w:rsidRPr="000A70D3">
        <w:rPr>
          <w:rFonts w:cs="Arial"/>
          <w:sz w:val="20"/>
        </w:rPr>
        <w:t xml:space="preserve">PK </w:t>
      </w:r>
      <w:r w:rsidR="00DB78D0" w:rsidRPr="000A70D3">
        <w:rPr>
          <w:rFonts w:cs="Arial"/>
          <w:sz w:val="20"/>
        </w:rPr>
        <w:t>plasma profiles</w:t>
      </w:r>
      <w:r w:rsidR="009C7288" w:rsidRPr="000A70D3">
        <w:rPr>
          <w:rFonts w:cs="Arial"/>
          <w:sz w:val="20"/>
        </w:rPr>
        <w:t xml:space="preserve">, </w:t>
      </w:r>
      <w:r w:rsidRPr="000A70D3">
        <w:rPr>
          <w:rFonts w:cs="Arial"/>
          <w:sz w:val="20"/>
        </w:rPr>
        <w:t xml:space="preserve">differentiate product strengths and different </w:t>
      </w:r>
      <w:r w:rsidR="009C7288" w:rsidRPr="000A70D3">
        <w:rPr>
          <w:rFonts w:cs="Arial"/>
          <w:sz w:val="20"/>
        </w:rPr>
        <w:t xml:space="preserve">inhalation </w:t>
      </w:r>
      <w:r w:rsidRPr="000A70D3">
        <w:rPr>
          <w:rFonts w:cs="Arial"/>
          <w:sz w:val="20"/>
        </w:rPr>
        <w:t>dosage forms. An exponential error model has then been applied to the PK model to simulate expected between (BSV) and within subject variability (WSV).</w:t>
      </w:r>
    </w:p>
    <w:p w14:paraId="390D9E32" w14:textId="40595ECB" w:rsidR="005067FC" w:rsidRPr="000A70D3" w:rsidRDefault="00587C2B" w:rsidP="005067FC">
      <w:pPr>
        <w:rPr>
          <w:rFonts w:cs="Arial"/>
          <w:sz w:val="20"/>
        </w:rPr>
      </w:pPr>
      <w:r w:rsidRPr="000A70D3">
        <w:rPr>
          <w:rFonts w:cs="Arial"/>
          <w:sz w:val="20"/>
        </w:rPr>
        <w:t>In-silico</w:t>
      </w:r>
      <w:r w:rsidR="005067FC" w:rsidRPr="000A70D3">
        <w:rPr>
          <w:rFonts w:cs="Arial"/>
          <w:sz w:val="20"/>
        </w:rPr>
        <w:t xml:space="preserve"> simulation has been used to compare various low GWP MDI </w:t>
      </w:r>
      <w:r w:rsidRPr="000A70D3">
        <w:rPr>
          <w:rFonts w:cs="Arial"/>
          <w:sz w:val="20"/>
        </w:rPr>
        <w:t xml:space="preserve">test </w:t>
      </w:r>
      <w:r w:rsidR="005067FC" w:rsidRPr="000A70D3">
        <w:rPr>
          <w:rFonts w:cs="Arial"/>
          <w:sz w:val="20"/>
        </w:rPr>
        <w:t xml:space="preserve">product configurations in terms of predicted PK performance. Using the exponential error model, it is possible to simulate variance that could be expected in a PK study and establish which test product configuration is most likely to achieve PK </w:t>
      </w:r>
      <w:r w:rsidR="000D337F" w:rsidRPr="000A70D3">
        <w:rPr>
          <w:rFonts w:cs="Arial"/>
          <w:sz w:val="20"/>
        </w:rPr>
        <w:t>bioequivalence (</w:t>
      </w:r>
      <w:r w:rsidR="005067FC" w:rsidRPr="000A70D3">
        <w:rPr>
          <w:rFonts w:cs="Arial"/>
          <w:sz w:val="20"/>
        </w:rPr>
        <w:t>BE</w:t>
      </w:r>
      <w:r w:rsidR="000D337F" w:rsidRPr="000A70D3">
        <w:rPr>
          <w:rFonts w:cs="Arial"/>
          <w:sz w:val="20"/>
        </w:rPr>
        <w:t>)</w:t>
      </w:r>
      <w:r w:rsidR="005067FC" w:rsidRPr="000A70D3">
        <w:rPr>
          <w:rFonts w:cs="Arial"/>
          <w:sz w:val="20"/>
        </w:rPr>
        <w:t xml:space="preserve"> compared to a reference product. This may be particularly useful for the development of </w:t>
      </w:r>
      <w:r w:rsidR="007B306E" w:rsidRPr="000A70D3">
        <w:rPr>
          <w:rFonts w:cs="Arial"/>
          <w:sz w:val="20"/>
        </w:rPr>
        <w:t xml:space="preserve">bioequivalent </w:t>
      </w:r>
      <w:r w:rsidR="005067FC" w:rsidRPr="000A70D3">
        <w:rPr>
          <w:rFonts w:cs="Arial"/>
          <w:sz w:val="20"/>
        </w:rPr>
        <w:t>new low GWP MDI</w:t>
      </w:r>
      <w:r w:rsidR="007B306E" w:rsidRPr="000A70D3">
        <w:rPr>
          <w:rFonts w:cs="Arial"/>
          <w:sz w:val="20"/>
        </w:rPr>
        <w:t xml:space="preserve"> products</w:t>
      </w:r>
      <w:r w:rsidR="005067FC" w:rsidRPr="000A70D3">
        <w:rPr>
          <w:rFonts w:cs="Arial"/>
          <w:sz w:val="20"/>
        </w:rPr>
        <w:t>.</w:t>
      </w:r>
    </w:p>
    <w:p w14:paraId="57DCC0F1" w14:textId="77777777" w:rsidR="00E14DBF" w:rsidRPr="000A70D3" w:rsidRDefault="00E14DBF" w:rsidP="00D156FE">
      <w:pPr>
        <w:pStyle w:val="DDLBodyText"/>
        <w:rPr>
          <w:b/>
          <w:sz w:val="20"/>
        </w:rPr>
      </w:pPr>
      <w:r w:rsidRPr="000A70D3">
        <w:rPr>
          <w:b/>
          <w:sz w:val="20"/>
        </w:rPr>
        <w:t>Key Message</w:t>
      </w:r>
    </w:p>
    <w:p w14:paraId="57DCC0F2" w14:textId="2DC04DA6" w:rsidR="00E14DBF" w:rsidRPr="000A70D3" w:rsidRDefault="005067FC" w:rsidP="00E14DBF">
      <w:pPr>
        <w:pStyle w:val="DDLBodyText"/>
        <w:rPr>
          <w:rStyle w:val="Strong"/>
          <w:rFonts w:cs="Arial"/>
          <w:b w:val="0"/>
          <w:color w:val="333333"/>
          <w:sz w:val="20"/>
          <w:shd w:val="clear" w:color="auto" w:fill="FFFFFF"/>
        </w:rPr>
      </w:pPr>
      <w:r w:rsidRPr="000A70D3">
        <w:rPr>
          <w:rFonts w:cs="Arial"/>
          <w:sz w:val="20"/>
        </w:rPr>
        <w:t xml:space="preserve">A </w:t>
      </w:r>
      <w:r w:rsidR="008C13EF" w:rsidRPr="000A70D3">
        <w:rPr>
          <w:rFonts w:cs="Arial"/>
          <w:sz w:val="20"/>
        </w:rPr>
        <w:t>pharmacokinetic (PK)</w:t>
      </w:r>
      <w:r w:rsidRPr="000A70D3">
        <w:rPr>
          <w:rFonts w:cs="Arial"/>
          <w:sz w:val="20"/>
        </w:rPr>
        <w:t xml:space="preserve"> model has been developed for </w:t>
      </w:r>
      <w:r w:rsidR="0077222C" w:rsidRPr="000A70D3">
        <w:rPr>
          <w:rFonts w:cs="Arial"/>
          <w:sz w:val="20"/>
        </w:rPr>
        <w:t xml:space="preserve">inhaled </w:t>
      </w:r>
      <w:r w:rsidR="00981FE9" w:rsidRPr="000A70D3">
        <w:rPr>
          <w:rFonts w:cs="Arial"/>
          <w:sz w:val="20"/>
        </w:rPr>
        <w:t>salbutamol</w:t>
      </w:r>
      <w:r w:rsidRPr="000A70D3">
        <w:rPr>
          <w:rFonts w:cs="Arial"/>
          <w:sz w:val="20"/>
        </w:rPr>
        <w:t xml:space="preserve"> that is benchmarked against actual PK data. In addition, an exponential error model has been applied for simulating expected </w:t>
      </w:r>
      <w:r w:rsidR="00981FE9" w:rsidRPr="000A70D3">
        <w:rPr>
          <w:rFonts w:cs="Arial"/>
          <w:sz w:val="20"/>
        </w:rPr>
        <w:t xml:space="preserve">clinical study </w:t>
      </w:r>
      <w:r w:rsidR="00A70297" w:rsidRPr="000A70D3">
        <w:rPr>
          <w:rFonts w:cs="Arial"/>
          <w:sz w:val="20"/>
        </w:rPr>
        <w:t xml:space="preserve">subject </w:t>
      </w:r>
      <w:r w:rsidRPr="000A70D3">
        <w:rPr>
          <w:rFonts w:cs="Arial"/>
          <w:sz w:val="20"/>
        </w:rPr>
        <w:t xml:space="preserve">variability and the use of the model for screening potential </w:t>
      </w:r>
      <w:r w:rsidR="008C13EF" w:rsidRPr="000A70D3">
        <w:rPr>
          <w:rFonts w:cs="Arial"/>
          <w:sz w:val="20"/>
        </w:rPr>
        <w:t>low global warming potential (GWP) metered dose inhaler (MDI)</w:t>
      </w:r>
      <w:r w:rsidRPr="000A70D3">
        <w:rPr>
          <w:rFonts w:cs="Arial"/>
          <w:sz w:val="20"/>
        </w:rPr>
        <w:t xml:space="preserve"> product configurations is demonstrated</w:t>
      </w:r>
      <w:r w:rsidR="00E14DBF" w:rsidRPr="000A70D3">
        <w:rPr>
          <w:rStyle w:val="Strong"/>
          <w:rFonts w:cs="Arial"/>
          <w:b w:val="0"/>
          <w:color w:val="333333"/>
          <w:sz w:val="20"/>
          <w:shd w:val="clear" w:color="auto" w:fill="FFFFFF"/>
        </w:rPr>
        <w:t>.</w:t>
      </w:r>
    </w:p>
    <w:p w14:paraId="57DCC0F3" w14:textId="77777777" w:rsidR="00C65A37" w:rsidRPr="000A70D3" w:rsidRDefault="00C65A37" w:rsidP="00D156FE">
      <w:pPr>
        <w:pStyle w:val="DDLHeading1"/>
        <w:rPr>
          <w:sz w:val="20"/>
          <w:szCs w:val="20"/>
        </w:rPr>
      </w:pPr>
      <w:r w:rsidRPr="000A70D3">
        <w:rPr>
          <w:sz w:val="20"/>
          <w:szCs w:val="20"/>
        </w:rPr>
        <w:t>Introduction</w:t>
      </w:r>
    </w:p>
    <w:p w14:paraId="144FA3DC" w14:textId="68A9105E" w:rsidR="005067FC" w:rsidRPr="000A70D3" w:rsidRDefault="005067FC" w:rsidP="005067FC">
      <w:pPr>
        <w:rPr>
          <w:rFonts w:cs="Arial"/>
          <w:sz w:val="20"/>
        </w:rPr>
      </w:pPr>
      <w:r w:rsidRPr="000A70D3">
        <w:rPr>
          <w:rFonts w:cs="Arial"/>
          <w:sz w:val="20"/>
        </w:rPr>
        <w:t xml:space="preserve">As the </w:t>
      </w:r>
      <w:r w:rsidR="008C13EF" w:rsidRPr="000A70D3">
        <w:rPr>
          <w:rFonts w:cs="Arial"/>
          <w:sz w:val="20"/>
        </w:rPr>
        <w:t>metered dose inhaler (MDI)</w:t>
      </w:r>
      <w:r w:rsidRPr="000A70D3">
        <w:rPr>
          <w:rFonts w:cs="Arial"/>
          <w:sz w:val="20"/>
        </w:rPr>
        <w:t xml:space="preserve"> industry is preparing to transition to low </w:t>
      </w:r>
      <w:r w:rsidR="008C13EF" w:rsidRPr="000A70D3">
        <w:rPr>
          <w:rFonts w:cs="Arial"/>
          <w:sz w:val="20"/>
        </w:rPr>
        <w:t xml:space="preserve">low global warming potential (GWP) </w:t>
      </w:r>
      <w:r w:rsidRPr="000A70D3">
        <w:rPr>
          <w:rFonts w:cs="Arial"/>
          <w:sz w:val="20"/>
        </w:rPr>
        <w:t xml:space="preserve">MDIs, the current expectation is that new MDIs containing existing drug substances </w:t>
      </w:r>
      <w:r w:rsidR="00F2248C" w:rsidRPr="000A70D3">
        <w:rPr>
          <w:rFonts w:cs="Arial"/>
          <w:sz w:val="20"/>
        </w:rPr>
        <w:t>re-</w:t>
      </w:r>
      <w:r w:rsidRPr="000A70D3">
        <w:rPr>
          <w:rFonts w:cs="Arial"/>
          <w:sz w:val="20"/>
        </w:rPr>
        <w:t xml:space="preserve">formulated with alternative low GWP propellants (HFA-152a and HFO-1234ze) will have similar in-vitro and/or PK performance to the already-approved </w:t>
      </w:r>
      <w:r w:rsidR="00CD7DA9" w:rsidRPr="000A70D3">
        <w:rPr>
          <w:rFonts w:cs="Arial"/>
          <w:sz w:val="20"/>
        </w:rPr>
        <w:t xml:space="preserve">HFA-134a and HFA-227 </w:t>
      </w:r>
      <w:r w:rsidR="00064707" w:rsidRPr="000A70D3">
        <w:rPr>
          <w:rFonts w:cs="Arial"/>
          <w:sz w:val="20"/>
        </w:rPr>
        <w:t xml:space="preserve">reference </w:t>
      </w:r>
      <w:r w:rsidRPr="000A70D3">
        <w:rPr>
          <w:rFonts w:cs="Arial"/>
          <w:sz w:val="20"/>
        </w:rPr>
        <w:t>products [</w:t>
      </w:r>
      <w:r w:rsidRPr="000A70D3">
        <w:rPr>
          <w:rStyle w:val="EndnoteReference"/>
          <w:rFonts w:cs="Arial"/>
          <w:sz w:val="20"/>
          <w:vertAlign w:val="baseline"/>
        </w:rPr>
        <w:endnoteReference w:id="2"/>
      </w:r>
      <w:r w:rsidRPr="000A70D3">
        <w:rPr>
          <w:rFonts w:cs="Arial"/>
          <w:sz w:val="20"/>
        </w:rPr>
        <w:t xml:space="preserve">]. In-silico PK modelling provides a </w:t>
      </w:r>
      <w:r w:rsidR="00064707" w:rsidRPr="000A70D3">
        <w:rPr>
          <w:rFonts w:cs="Arial"/>
          <w:sz w:val="20"/>
        </w:rPr>
        <w:t xml:space="preserve">useful </w:t>
      </w:r>
      <w:r w:rsidRPr="000A70D3">
        <w:rPr>
          <w:rFonts w:cs="Arial"/>
          <w:sz w:val="20"/>
        </w:rPr>
        <w:t>development tool for predicting which new product configurations are most likely to be comparable to existing products</w:t>
      </w:r>
      <w:r w:rsidR="006D4C9F" w:rsidRPr="000A70D3">
        <w:rPr>
          <w:rFonts w:cs="Arial"/>
          <w:sz w:val="20"/>
        </w:rPr>
        <w:t xml:space="preserve"> in </w:t>
      </w:r>
      <w:r w:rsidR="0094361F" w:rsidRPr="000A70D3">
        <w:rPr>
          <w:rFonts w:cs="Arial"/>
          <w:sz w:val="20"/>
        </w:rPr>
        <w:t>terms of PK performance</w:t>
      </w:r>
      <w:r w:rsidRPr="000A70D3">
        <w:rPr>
          <w:rFonts w:cs="Arial"/>
          <w:sz w:val="20"/>
        </w:rPr>
        <w:t>. Preludium</w:t>
      </w:r>
      <w:r w:rsidRPr="000A70D3">
        <w:rPr>
          <w:rFonts w:cs="Arial"/>
          <w:sz w:val="20"/>
          <w:vertAlign w:val="superscript"/>
        </w:rPr>
        <w:t>TM</w:t>
      </w:r>
      <w:r w:rsidRPr="000A70D3">
        <w:rPr>
          <w:rFonts w:cs="Arial"/>
          <w:sz w:val="20"/>
        </w:rPr>
        <w:t xml:space="preserve"> (Emmace Consulting, AB) [</w:t>
      </w:r>
      <w:bookmarkStart w:id="2" w:name="_Ref134099284"/>
      <w:r w:rsidRPr="000A70D3">
        <w:rPr>
          <w:rStyle w:val="EndnoteReference"/>
          <w:rFonts w:cs="Arial"/>
          <w:sz w:val="20"/>
          <w:vertAlign w:val="baseline"/>
        </w:rPr>
        <w:endnoteReference w:id="3"/>
      </w:r>
      <w:bookmarkEnd w:id="2"/>
      <w:r w:rsidRPr="000A70D3">
        <w:rPr>
          <w:rFonts w:cs="Arial"/>
          <w:sz w:val="20"/>
        </w:rPr>
        <w:t xml:space="preserve">] is a </w:t>
      </w:r>
      <w:r w:rsidR="00F52779">
        <w:rPr>
          <w:rFonts w:cs="Arial"/>
          <w:sz w:val="20"/>
        </w:rPr>
        <w:t>p</w:t>
      </w:r>
      <w:r w:rsidR="00F52779" w:rsidRPr="000A70D3">
        <w:rPr>
          <w:rFonts w:cs="Arial"/>
          <w:sz w:val="20"/>
        </w:rPr>
        <w:t>hysiologically based</w:t>
      </w:r>
      <w:r w:rsidRPr="000A70D3">
        <w:rPr>
          <w:rFonts w:cs="Arial"/>
          <w:sz w:val="20"/>
        </w:rPr>
        <w:t xml:space="preserve"> </w:t>
      </w:r>
      <w:r w:rsidR="00AA591F" w:rsidRPr="000A70D3">
        <w:rPr>
          <w:rFonts w:cs="Arial"/>
          <w:sz w:val="20"/>
        </w:rPr>
        <w:t>p</w:t>
      </w:r>
      <w:r w:rsidRPr="000A70D3">
        <w:rPr>
          <w:rFonts w:cs="Arial"/>
          <w:sz w:val="20"/>
        </w:rPr>
        <w:t xml:space="preserve">harmacokinetic (PBPK) software </w:t>
      </w:r>
      <w:r w:rsidR="00F83E7E" w:rsidRPr="000A70D3">
        <w:rPr>
          <w:rFonts w:cs="Arial"/>
          <w:sz w:val="20"/>
        </w:rPr>
        <w:t xml:space="preserve">package </w:t>
      </w:r>
      <w:r w:rsidRPr="000A70D3">
        <w:rPr>
          <w:rFonts w:cs="Arial"/>
          <w:sz w:val="20"/>
        </w:rPr>
        <w:t>that has a lung regional deposition and PK module that can be utilised for this purpose. Validated PBPK models may also be useful</w:t>
      </w:r>
      <w:r w:rsidR="00B93B97" w:rsidRPr="000A70D3">
        <w:rPr>
          <w:rFonts w:cs="Arial"/>
          <w:sz w:val="20"/>
        </w:rPr>
        <w:t>,</w:t>
      </w:r>
      <w:r w:rsidRPr="000A70D3">
        <w:rPr>
          <w:rFonts w:cs="Arial"/>
          <w:sz w:val="20"/>
        </w:rPr>
        <w:t xml:space="preserve"> as part of an in-vitro package</w:t>
      </w:r>
      <w:r w:rsidR="00B93B97" w:rsidRPr="000A70D3">
        <w:rPr>
          <w:rFonts w:cs="Arial"/>
          <w:sz w:val="20"/>
        </w:rPr>
        <w:t>,</w:t>
      </w:r>
      <w:r w:rsidRPr="000A70D3">
        <w:rPr>
          <w:rFonts w:cs="Arial"/>
          <w:sz w:val="20"/>
        </w:rPr>
        <w:t xml:space="preserve"> to enable alternative approaches in lieu of clinical end point studies to be justified</w:t>
      </w:r>
      <w:r w:rsidR="0015719E" w:rsidRPr="000A70D3">
        <w:rPr>
          <w:rFonts w:cs="Arial"/>
          <w:sz w:val="20"/>
        </w:rPr>
        <w:t xml:space="preserve"> for generics</w:t>
      </w:r>
      <w:r w:rsidR="00F52779">
        <w:rPr>
          <w:rFonts w:cs="Arial"/>
          <w:sz w:val="20"/>
        </w:rPr>
        <w:t>,</w:t>
      </w:r>
      <w:r w:rsidR="0015719E" w:rsidRPr="000A70D3">
        <w:rPr>
          <w:rFonts w:cs="Arial"/>
          <w:sz w:val="20"/>
        </w:rPr>
        <w:t xml:space="preserve"> and</w:t>
      </w:r>
      <w:r w:rsidR="0047094B" w:rsidRPr="000A70D3">
        <w:rPr>
          <w:rFonts w:cs="Arial"/>
          <w:sz w:val="20"/>
        </w:rPr>
        <w:t xml:space="preserve"> </w:t>
      </w:r>
      <w:r w:rsidR="0015719E" w:rsidRPr="000A70D3">
        <w:rPr>
          <w:rFonts w:cs="Arial"/>
          <w:sz w:val="20"/>
        </w:rPr>
        <w:t xml:space="preserve">in the future </w:t>
      </w:r>
      <w:r w:rsidR="00F52779">
        <w:rPr>
          <w:rFonts w:cs="Arial"/>
          <w:sz w:val="20"/>
        </w:rPr>
        <w:t xml:space="preserve">possibly </w:t>
      </w:r>
      <w:r w:rsidR="0047094B" w:rsidRPr="000A70D3">
        <w:rPr>
          <w:rFonts w:cs="Arial"/>
          <w:sz w:val="20"/>
        </w:rPr>
        <w:t>for the transition to low GWP MDIs</w:t>
      </w:r>
      <w:r w:rsidRPr="000A70D3">
        <w:rPr>
          <w:rFonts w:cs="Arial"/>
          <w:sz w:val="20"/>
        </w:rPr>
        <w:t xml:space="preserve">. </w:t>
      </w:r>
    </w:p>
    <w:p w14:paraId="5C4F0E22" w14:textId="77777777" w:rsidR="00035082" w:rsidRPr="000A70D3" w:rsidRDefault="00035082" w:rsidP="00035082">
      <w:pPr>
        <w:pStyle w:val="DDLBodyText"/>
        <w:rPr>
          <w:sz w:val="20"/>
        </w:rPr>
      </w:pPr>
      <w:r w:rsidRPr="000A70D3">
        <w:rPr>
          <w:rFonts w:cs="Arial"/>
          <w:sz w:val="20"/>
        </w:rPr>
        <w:t>In addition to knowing the expected PK response it is useful to know if PK bioequivalence (BE) is likely to be achieved. In this work, the development of a PK model for inhaled salbutamol is described, including the application of a potential method to simulate expected subject variability, and the subsequent use of the model to evaluate expected PK outcomes for a range of different low GWP MDI test product configurations.</w:t>
      </w:r>
    </w:p>
    <w:p w14:paraId="57DCC0F5" w14:textId="68922D59" w:rsidR="00966CD3" w:rsidRPr="000A70D3" w:rsidRDefault="005067FC" w:rsidP="00D156FE">
      <w:pPr>
        <w:pStyle w:val="DDLHeading1"/>
        <w:rPr>
          <w:sz w:val="20"/>
          <w:szCs w:val="20"/>
        </w:rPr>
      </w:pPr>
      <w:r w:rsidRPr="000A70D3">
        <w:rPr>
          <w:sz w:val="20"/>
          <w:szCs w:val="20"/>
        </w:rPr>
        <w:t>Experimental Method</w:t>
      </w:r>
    </w:p>
    <w:p w14:paraId="3F3330A9" w14:textId="77777777" w:rsidR="005067FC" w:rsidRPr="000A70D3" w:rsidRDefault="005067FC" w:rsidP="005067FC">
      <w:pPr>
        <w:rPr>
          <w:rFonts w:cs="Arial"/>
          <w:sz w:val="20"/>
          <w:u w:val="single"/>
        </w:rPr>
      </w:pPr>
      <w:r w:rsidRPr="000A70D3">
        <w:rPr>
          <w:rFonts w:cs="Arial"/>
          <w:sz w:val="20"/>
          <w:u w:val="single"/>
        </w:rPr>
        <w:t>In-Silico Regional Deposition and PK Modelling</w:t>
      </w:r>
    </w:p>
    <w:p w14:paraId="57DCC0F7" w14:textId="4EF54BF5" w:rsidR="00DD5EB8" w:rsidRPr="000A70D3" w:rsidRDefault="005067FC" w:rsidP="005067FC">
      <w:pPr>
        <w:pStyle w:val="DDLBodyText"/>
        <w:rPr>
          <w:sz w:val="20"/>
        </w:rPr>
      </w:pPr>
      <w:r w:rsidRPr="000A70D3">
        <w:rPr>
          <w:rFonts w:cs="Arial"/>
          <w:sz w:val="20"/>
        </w:rPr>
        <w:t xml:space="preserve">Clinically relevant aerodynamic particle size distribution (APSD) data were generated via Next Generation Impactor (NGI, Copley, UK) utilising a medium anatomical throat model (Emmace Consulting, AB) for </w:t>
      </w:r>
      <w:r w:rsidR="002C61D2" w:rsidRPr="000A70D3">
        <w:rPr>
          <w:rFonts w:cs="Arial"/>
          <w:sz w:val="20"/>
        </w:rPr>
        <w:t xml:space="preserve">3 </w:t>
      </w:r>
      <w:r w:rsidRPr="000A70D3">
        <w:rPr>
          <w:rFonts w:cs="Arial"/>
          <w:sz w:val="20"/>
        </w:rPr>
        <w:t xml:space="preserve">dual active </w:t>
      </w:r>
      <w:r w:rsidR="002C61D2" w:rsidRPr="000A70D3">
        <w:rPr>
          <w:rFonts w:cs="Arial"/>
          <w:sz w:val="20"/>
        </w:rPr>
        <w:t xml:space="preserve">MDI </w:t>
      </w:r>
      <w:r w:rsidRPr="000A70D3">
        <w:rPr>
          <w:rFonts w:cs="Arial"/>
          <w:sz w:val="20"/>
        </w:rPr>
        <w:t xml:space="preserve">test </w:t>
      </w:r>
      <w:r w:rsidR="00AB22EF" w:rsidRPr="000A70D3">
        <w:rPr>
          <w:rFonts w:cs="Arial"/>
          <w:sz w:val="20"/>
        </w:rPr>
        <w:t>product</w:t>
      </w:r>
      <w:r w:rsidRPr="000A70D3">
        <w:rPr>
          <w:rFonts w:cs="Arial"/>
          <w:sz w:val="20"/>
        </w:rPr>
        <w:t xml:space="preserve"> variants and </w:t>
      </w:r>
      <w:r w:rsidR="00AB22EF" w:rsidRPr="000A70D3">
        <w:rPr>
          <w:rFonts w:cs="Arial"/>
          <w:sz w:val="20"/>
        </w:rPr>
        <w:t xml:space="preserve">a soft mist inhaler (SMI) </w:t>
      </w:r>
      <w:r w:rsidRPr="000A70D3">
        <w:rPr>
          <w:rFonts w:cs="Arial"/>
          <w:sz w:val="20"/>
        </w:rPr>
        <w:t>reference product</w:t>
      </w:r>
      <w:r w:rsidR="009F0F6B" w:rsidRPr="000A70D3">
        <w:rPr>
          <w:rFonts w:cs="Arial"/>
          <w:sz w:val="20"/>
        </w:rPr>
        <w:t>, all of</w:t>
      </w:r>
      <w:r w:rsidRPr="000A70D3">
        <w:rPr>
          <w:rFonts w:cs="Arial"/>
          <w:sz w:val="20"/>
        </w:rPr>
        <w:t xml:space="preserve"> which were included in a prior PK study, </w:t>
      </w:r>
      <w:r w:rsidR="00F52779">
        <w:rPr>
          <w:rFonts w:cs="Arial"/>
          <w:sz w:val="20"/>
        </w:rPr>
        <w:t>without a</w:t>
      </w:r>
      <w:r w:rsidRPr="000A70D3">
        <w:rPr>
          <w:rFonts w:cs="Arial"/>
          <w:sz w:val="20"/>
        </w:rPr>
        <w:t xml:space="preserve"> charcoal block [</w:t>
      </w:r>
      <w:bookmarkStart w:id="3" w:name="_Ref135799109"/>
      <w:r w:rsidRPr="000A70D3">
        <w:rPr>
          <w:rStyle w:val="EndnoteReference"/>
          <w:rFonts w:cs="Arial"/>
          <w:sz w:val="20"/>
          <w:vertAlign w:val="baseline"/>
        </w:rPr>
        <w:endnoteReference w:id="4"/>
      </w:r>
      <w:bookmarkEnd w:id="3"/>
      <w:r w:rsidRPr="000A70D3">
        <w:rPr>
          <w:rFonts w:cs="Arial"/>
          <w:sz w:val="20"/>
        </w:rPr>
        <w:t xml:space="preserve">]. </w:t>
      </w:r>
      <w:r w:rsidR="00B30A76" w:rsidRPr="000A70D3">
        <w:rPr>
          <w:rFonts w:cs="Arial"/>
          <w:sz w:val="20"/>
        </w:rPr>
        <w:t xml:space="preserve">The data for the </w:t>
      </w:r>
      <w:r w:rsidR="00981FE9" w:rsidRPr="000A70D3">
        <w:rPr>
          <w:rFonts w:cs="Arial"/>
          <w:sz w:val="20"/>
        </w:rPr>
        <w:t>s</w:t>
      </w:r>
      <w:r w:rsidR="00B30A76" w:rsidRPr="000A70D3">
        <w:rPr>
          <w:rFonts w:cs="Arial"/>
          <w:sz w:val="20"/>
        </w:rPr>
        <w:t>albutamol component</w:t>
      </w:r>
      <w:r w:rsidR="00810A47" w:rsidRPr="000A70D3">
        <w:rPr>
          <w:rFonts w:cs="Arial"/>
          <w:sz w:val="20"/>
        </w:rPr>
        <w:t xml:space="preserve"> </w:t>
      </w:r>
      <w:r w:rsidR="00DE257F" w:rsidRPr="000A70D3">
        <w:rPr>
          <w:rFonts w:cs="Arial"/>
          <w:sz w:val="20"/>
        </w:rPr>
        <w:t xml:space="preserve">only </w:t>
      </w:r>
      <w:r w:rsidR="00810A47" w:rsidRPr="000A70D3">
        <w:rPr>
          <w:rFonts w:cs="Arial"/>
          <w:sz w:val="20"/>
        </w:rPr>
        <w:t xml:space="preserve">were </w:t>
      </w:r>
      <w:r w:rsidR="00DE257F" w:rsidRPr="000A70D3">
        <w:rPr>
          <w:rFonts w:cs="Arial"/>
          <w:sz w:val="20"/>
        </w:rPr>
        <w:t xml:space="preserve">utilised for this work.  </w:t>
      </w:r>
      <w:r w:rsidRPr="000A70D3">
        <w:rPr>
          <w:rFonts w:cs="Arial"/>
          <w:sz w:val="20"/>
        </w:rPr>
        <w:t>The resulting Mass Median Aerodynamic Diameter (MMAD), Geometric Standard Deviation (GSD), and Coarse % (defined as % of drug deposited on the throat apparatus) are inputs required for</w:t>
      </w:r>
      <w:r w:rsidRPr="000A70D3" w:rsidDel="006F1484">
        <w:rPr>
          <w:rFonts w:cs="Arial"/>
          <w:sz w:val="20"/>
        </w:rPr>
        <w:t xml:space="preserve"> </w:t>
      </w:r>
      <w:r w:rsidRPr="000A70D3">
        <w:rPr>
          <w:rFonts w:cs="Arial"/>
          <w:sz w:val="20"/>
        </w:rPr>
        <w:t>Preludium</w:t>
      </w:r>
      <w:r w:rsidRPr="000A70D3">
        <w:rPr>
          <w:rFonts w:cs="Arial"/>
          <w:sz w:val="20"/>
          <w:vertAlign w:val="superscript"/>
        </w:rPr>
        <w:t>TM</w:t>
      </w:r>
      <w:r w:rsidRPr="000A70D3">
        <w:rPr>
          <w:rFonts w:cs="Arial"/>
          <w:sz w:val="20"/>
        </w:rPr>
        <w:t xml:space="preserve"> to model regional lung deposition. Patient breath profile is also an input, for which the training parameters </w:t>
      </w:r>
      <w:r w:rsidR="007A6A12" w:rsidRPr="000A70D3">
        <w:rPr>
          <w:rFonts w:cs="Arial"/>
          <w:sz w:val="20"/>
        </w:rPr>
        <w:t>used in</w:t>
      </w:r>
      <w:r w:rsidRPr="000A70D3">
        <w:rPr>
          <w:rFonts w:cs="Arial"/>
          <w:sz w:val="20"/>
        </w:rPr>
        <w:t xml:space="preserve"> the clinic were </w:t>
      </w:r>
      <w:r w:rsidR="007A6A12" w:rsidRPr="000A70D3">
        <w:rPr>
          <w:rFonts w:cs="Arial"/>
          <w:sz w:val="20"/>
        </w:rPr>
        <w:t>employed</w:t>
      </w:r>
      <w:r w:rsidRPr="000A70D3">
        <w:rPr>
          <w:rFonts w:cs="Arial"/>
          <w:sz w:val="20"/>
        </w:rPr>
        <w:t xml:space="preserve">. </w:t>
      </w:r>
      <w:r w:rsidRPr="000A70D3">
        <w:rPr>
          <w:rFonts w:cs="Arial"/>
          <w:sz w:val="20"/>
        </w:rPr>
        <w:lastRenderedPageBreak/>
        <w:t>Thoracic deposition is then calculated within Preludium</w:t>
      </w:r>
      <w:r w:rsidRPr="000A70D3">
        <w:rPr>
          <w:rFonts w:cs="Arial"/>
          <w:sz w:val="20"/>
          <w:vertAlign w:val="superscript"/>
        </w:rPr>
        <w:t>TM</w:t>
      </w:r>
      <w:r w:rsidRPr="000A70D3">
        <w:rPr>
          <w:rFonts w:cs="Arial"/>
          <w:sz w:val="20"/>
        </w:rPr>
        <w:t xml:space="preserve">, as a % of the ex-actuator </w:t>
      </w:r>
      <w:r w:rsidR="00841AC1" w:rsidRPr="000A70D3">
        <w:rPr>
          <w:rFonts w:cs="Arial"/>
          <w:sz w:val="20"/>
        </w:rPr>
        <w:t xml:space="preserve">delivered </w:t>
      </w:r>
      <w:r w:rsidRPr="000A70D3">
        <w:rPr>
          <w:rFonts w:cs="Arial"/>
          <w:sz w:val="20"/>
        </w:rPr>
        <w:t>dose</w:t>
      </w:r>
      <w:r w:rsidR="00841AC1" w:rsidRPr="000A70D3">
        <w:rPr>
          <w:rFonts w:cs="Arial"/>
          <w:sz w:val="20"/>
        </w:rPr>
        <w:t xml:space="preserve"> (dose)</w:t>
      </w:r>
      <w:r w:rsidRPr="000A70D3">
        <w:rPr>
          <w:rFonts w:cs="Arial"/>
          <w:sz w:val="20"/>
        </w:rPr>
        <w:t>, based upon the work from the National Council on Radiation Protection &amp; Measurements (NCRP)</w:t>
      </w:r>
      <w:bookmarkStart w:id="4" w:name="_Ref135746695"/>
      <w:r w:rsidRPr="000A70D3">
        <w:rPr>
          <w:rFonts w:cs="Arial"/>
          <w:sz w:val="20"/>
        </w:rPr>
        <w:t xml:space="preserve"> [</w:t>
      </w:r>
      <w:bookmarkStart w:id="5" w:name="_Ref135746858"/>
      <w:r w:rsidRPr="000A70D3">
        <w:rPr>
          <w:rStyle w:val="EndnoteReference"/>
          <w:rFonts w:cs="Arial"/>
          <w:sz w:val="20"/>
          <w:vertAlign w:val="baseline"/>
        </w:rPr>
        <w:endnoteReference w:id="5"/>
      </w:r>
      <w:bookmarkEnd w:id="4"/>
      <w:bookmarkEnd w:id="5"/>
      <w:r w:rsidRPr="000A70D3">
        <w:rPr>
          <w:rFonts w:cs="Arial"/>
          <w:sz w:val="20"/>
        </w:rPr>
        <w:t>].</w:t>
      </w:r>
    </w:p>
    <w:p w14:paraId="232C765D" w14:textId="0AE61822" w:rsidR="005067FC" w:rsidRPr="000A70D3" w:rsidRDefault="005067FC" w:rsidP="005067FC">
      <w:pPr>
        <w:rPr>
          <w:rFonts w:cs="Arial"/>
          <w:sz w:val="20"/>
        </w:rPr>
      </w:pPr>
      <w:r w:rsidRPr="000A70D3">
        <w:rPr>
          <w:rFonts w:cs="Arial"/>
          <w:sz w:val="20"/>
        </w:rPr>
        <w:t>To develop the PK model, physiochemical properties of the drug substance are used to model dissolution and permeation, with parameter estimates taken from the literature, calculated from the PK study data, or calculated in Preludium</w:t>
      </w:r>
      <w:r w:rsidRPr="000A70D3">
        <w:rPr>
          <w:rFonts w:cs="Arial"/>
          <w:sz w:val="20"/>
          <w:vertAlign w:val="superscript"/>
        </w:rPr>
        <w:t>TM</w:t>
      </w:r>
      <w:r w:rsidRPr="000A70D3">
        <w:rPr>
          <w:rFonts w:cs="Arial"/>
          <w:sz w:val="20"/>
        </w:rPr>
        <w:t xml:space="preserve">. Salbutamol </w:t>
      </w:r>
      <w:r w:rsidR="00DE257F" w:rsidRPr="000A70D3">
        <w:rPr>
          <w:rFonts w:cs="Arial"/>
          <w:sz w:val="20"/>
        </w:rPr>
        <w:t xml:space="preserve">data </w:t>
      </w:r>
      <w:r w:rsidRPr="000A70D3">
        <w:rPr>
          <w:rFonts w:cs="Arial"/>
          <w:sz w:val="20"/>
        </w:rPr>
        <w:t>from the regional lung deposition and prior PK study were used to develop and verify the PK model [</w:t>
      </w:r>
      <w:r w:rsidRPr="000A70D3">
        <w:rPr>
          <w:rFonts w:cs="Arial"/>
          <w:sz w:val="20"/>
        </w:rPr>
        <w:fldChar w:fldCharType="begin"/>
      </w:r>
      <w:r w:rsidRPr="000A70D3">
        <w:rPr>
          <w:rFonts w:cs="Arial"/>
          <w:sz w:val="20"/>
        </w:rPr>
        <w:instrText xml:space="preserve"> NOTEREF _Ref135799109 \h </w:instrText>
      </w:r>
      <w:r w:rsidR="000A70D3" w:rsidRPr="000A70D3">
        <w:rPr>
          <w:rFonts w:cs="Arial"/>
          <w:sz w:val="20"/>
        </w:rPr>
        <w:instrText xml:space="preserve"> \* MERGEFORMAT </w:instrText>
      </w:r>
      <w:r w:rsidRPr="000A70D3">
        <w:rPr>
          <w:rFonts w:cs="Arial"/>
          <w:sz w:val="20"/>
        </w:rPr>
      </w:r>
      <w:r w:rsidRPr="000A70D3">
        <w:rPr>
          <w:rFonts w:cs="Arial"/>
          <w:sz w:val="20"/>
        </w:rPr>
        <w:fldChar w:fldCharType="separate"/>
      </w:r>
      <w:r w:rsidR="00357B39">
        <w:rPr>
          <w:rFonts w:cs="Arial"/>
          <w:sz w:val="20"/>
        </w:rPr>
        <w:t>3</w:t>
      </w:r>
      <w:r w:rsidRPr="000A70D3">
        <w:rPr>
          <w:rFonts w:cs="Arial"/>
          <w:sz w:val="20"/>
        </w:rPr>
        <w:fldChar w:fldCharType="end"/>
      </w:r>
      <w:r w:rsidRPr="000A70D3">
        <w:rPr>
          <w:sz w:val="20"/>
        </w:rPr>
        <w:t>]</w:t>
      </w:r>
      <w:r w:rsidRPr="000A70D3">
        <w:rPr>
          <w:rFonts w:cs="Arial"/>
          <w:sz w:val="20"/>
        </w:rPr>
        <w:t xml:space="preserve">. </w:t>
      </w:r>
    </w:p>
    <w:p w14:paraId="7BC5A200" w14:textId="74C65FDA" w:rsidR="005067FC" w:rsidRPr="000A70D3" w:rsidRDefault="005067FC" w:rsidP="005067FC">
      <w:pPr>
        <w:rPr>
          <w:rFonts w:cs="Arial"/>
          <w:sz w:val="20"/>
        </w:rPr>
      </w:pPr>
      <w:r w:rsidRPr="000A70D3">
        <w:rPr>
          <w:rFonts w:cs="Arial"/>
          <w:sz w:val="20"/>
        </w:rPr>
        <w:t xml:space="preserve">A visual comparison of the simulated and the actual PK profiles was performed and parameters </w:t>
      </w:r>
      <w:r w:rsidR="00F52779">
        <w:rPr>
          <w:rFonts w:cs="Arial"/>
          <w:sz w:val="20"/>
        </w:rPr>
        <w:t xml:space="preserve">such as </w:t>
      </w:r>
      <w:r w:rsidR="00035082" w:rsidRPr="000A70D3">
        <w:rPr>
          <w:rFonts w:cs="Arial"/>
          <w:sz w:val="20"/>
        </w:rPr>
        <w:t xml:space="preserve">volume of distribution, elimination rate, distribution rate into the peripheral compartment </w:t>
      </w:r>
      <w:r w:rsidR="00F52779">
        <w:rPr>
          <w:rFonts w:cs="Arial"/>
          <w:sz w:val="20"/>
        </w:rPr>
        <w:t xml:space="preserve">and </w:t>
      </w:r>
      <w:r w:rsidR="00035082" w:rsidRPr="000A70D3">
        <w:rPr>
          <w:rFonts w:cs="Arial"/>
          <w:sz w:val="20"/>
        </w:rPr>
        <w:t>distribution rate out of the peripheral compartment</w:t>
      </w:r>
      <w:r w:rsidR="00F52779">
        <w:rPr>
          <w:rFonts w:cs="Arial"/>
          <w:sz w:val="20"/>
        </w:rPr>
        <w:t>,</w:t>
      </w:r>
      <w:r w:rsidR="00035082" w:rsidRPr="000A70D3">
        <w:rPr>
          <w:rFonts w:cs="Arial"/>
          <w:sz w:val="20"/>
        </w:rPr>
        <w:t xml:space="preserve"> </w:t>
      </w:r>
      <w:r w:rsidRPr="000A70D3">
        <w:rPr>
          <w:rFonts w:cs="Arial"/>
          <w:sz w:val="20"/>
        </w:rPr>
        <w:t xml:space="preserve">were adjusted to fit the </w:t>
      </w:r>
      <w:r w:rsidR="000F0088" w:rsidRPr="000A70D3">
        <w:rPr>
          <w:rFonts w:cs="Arial"/>
          <w:sz w:val="20"/>
        </w:rPr>
        <w:t xml:space="preserve">actual </w:t>
      </w:r>
      <w:r w:rsidRPr="000A70D3">
        <w:rPr>
          <w:rFonts w:cs="Arial"/>
          <w:sz w:val="20"/>
        </w:rPr>
        <w:t>data from one of the test products. The PK</w:t>
      </w:r>
      <w:r w:rsidRPr="000A70D3" w:rsidDel="008F59B4">
        <w:rPr>
          <w:rFonts w:cs="Arial"/>
          <w:sz w:val="20"/>
        </w:rPr>
        <w:t xml:space="preserve"> </w:t>
      </w:r>
      <w:r w:rsidRPr="000A70D3">
        <w:rPr>
          <w:rFonts w:cs="Arial"/>
          <w:sz w:val="20"/>
        </w:rPr>
        <w:t>simulation was then optimised with nonlinear regression using the Levenberg-Marquardt algorithm [</w:t>
      </w:r>
      <w:r w:rsidRPr="000A70D3">
        <w:rPr>
          <w:rFonts w:cs="Arial"/>
          <w:sz w:val="20"/>
        </w:rPr>
        <w:fldChar w:fldCharType="begin"/>
      </w:r>
      <w:r w:rsidRPr="000A70D3">
        <w:rPr>
          <w:rFonts w:cs="Arial"/>
          <w:sz w:val="20"/>
        </w:rPr>
        <w:instrText xml:space="preserve"> NOTEREF _Ref135746858 \f \h  \* MERGEFORMAT </w:instrText>
      </w:r>
      <w:r w:rsidRPr="000A70D3">
        <w:rPr>
          <w:rFonts w:cs="Arial"/>
          <w:sz w:val="20"/>
        </w:rPr>
      </w:r>
      <w:r w:rsidRPr="000A70D3">
        <w:rPr>
          <w:rFonts w:cs="Arial"/>
          <w:sz w:val="20"/>
        </w:rPr>
        <w:fldChar w:fldCharType="separate"/>
      </w:r>
      <w:r w:rsidR="00357B39" w:rsidRPr="00357B39">
        <w:rPr>
          <w:rStyle w:val="EndnoteReference"/>
          <w:sz w:val="20"/>
          <w:vertAlign w:val="baseline"/>
        </w:rPr>
        <w:t>4</w:t>
      </w:r>
      <w:r w:rsidRPr="000A70D3">
        <w:rPr>
          <w:rFonts w:cs="Arial"/>
          <w:sz w:val="20"/>
        </w:rPr>
        <w:fldChar w:fldCharType="end"/>
      </w:r>
      <w:r w:rsidRPr="000A70D3">
        <w:rPr>
          <w:rFonts w:cs="Arial"/>
          <w:sz w:val="20"/>
        </w:rPr>
        <w:t xml:space="preserve">] to fit to the PK study data. To confirm that the </w:t>
      </w:r>
      <w:r w:rsidR="007A73FC" w:rsidRPr="000A70D3">
        <w:rPr>
          <w:rFonts w:cs="Arial"/>
          <w:sz w:val="20"/>
        </w:rPr>
        <w:t xml:space="preserve">PK </w:t>
      </w:r>
      <w:r w:rsidRPr="000A70D3">
        <w:rPr>
          <w:rFonts w:cs="Arial"/>
          <w:sz w:val="20"/>
        </w:rPr>
        <w:t>model was not overfitted, simulations were performed using the dose and APSD inputs from the remaining test and reference products in the PK study and visually compared to the PK study data.</w:t>
      </w:r>
    </w:p>
    <w:p w14:paraId="67E4E07F" w14:textId="77777777" w:rsidR="005067FC" w:rsidRPr="000A70D3" w:rsidRDefault="005067FC" w:rsidP="005067FC">
      <w:pPr>
        <w:rPr>
          <w:rFonts w:cs="Arial"/>
          <w:sz w:val="20"/>
          <w:u w:val="single"/>
        </w:rPr>
      </w:pPr>
      <w:r w:rsidRPr="000A70D3">
        <w:rPr>
          <w:rFonts w:cs="Arial"/>
          <w:sz w:val="20"/>
          <w:u w:val="single"/>
        </w:rPr>
        <w:t xml:space="preserve">Variability Assessment  </w:t>
      </w:r>
    </w:p>
    <w:p w14:paraId="5D85E263" w14:textId="34CA1D3A" w:rsidR="005067FC" w:rsidRPr="000A70D3" w:rsidRDefault="005067FC" w:rsidP="005067FC">
      <w:pPr>
        <w:rPr>
          <w:rFonts w:cs="Arial"/>
          <w:sz w:val="20"/>
        </w:rPr>
      </w:pPr>
      <w:r w:rsidRPr="000A70D3">
        <w:rPr>
          <w:rFonts w:cs="Arial"/>
          <w:sz w:val="20"/>
        </w:rPr>
        <w:t xml:space="preserve">Variability in clinical trials can occur from a variety of sources including </w:t>
      </w:r>
      <w:r w:rsidR="007064E6" w:rsidRPr="000A70D3">
        <w:rPr>
          <w:rFonts w:cs="Arial"/>
          <w:sz w:val="20"/>
        </w:rPr>
        <w:t xml:space="preserve">between (BSV) and within subject variability (WSV) </w:t>
      </w:r>
      <w:r w:rsidRPr="000A70D3">
        <w:rPr>
          <w:rFonts w:cs="Arial"/>
          <w:sz w:val="20"/>
        </w:rPr>
        <w:t>[</w:t>
      </w:r>
      <w:r w:rsidRPr="000A70D3">
        <w:rPr>
          <w:rStyle w:val="EndnoteReference"/>
          <w:rFonts w:cs="Arial"/>
          <w:sz w:val="20"/>
          <w:vertAlign w:val="baseline"/>
        </w:rPr>
        <w:endnoteReference w:id="6"/>
      </w:r>
      <w:r w:rsidRPr="000A70D3">
        <w:rPr>
          <w:rFonts w:cs="Arial"/>
          <w:sz w:val="20"/>
        </w:rPr>
        <w:t xml:space="preserve">]. To simulate BSV, an exponential error model </w:t>
      </w:r>
      <w:r w:rsidR="00E642CB">
        <w:rPr>
          <w:rFonts w:cs="Arial"/>
          <w:sz w:val="20"/>
        </w:rPr>
        <w:t>was</w:t>
      </w:r>
      <w:r w:rsidRPr="000A70D3">
        <w:rPr>
          <w:rFonts w:cs="Arial"/>
          <w:sz w:val="20"/>
        </w:rPr>
        <w:t xml:space="preserve"> applied, based upon the work of Weber &amp; Hochaus [</w:t>
      </w:r>
      <w:r w:rsidRPr="000A70D3">
        <w:rPr>
          <w:rStyle w:val="EndnoteReference"/>
          <w:rFonts w:cs="Arial"/>
          <w:sz w:val="20"/>
          <w:vertAlign w:val="baseline"/>
        </w:rPr>
        <w:endnoteReference w:id="7"/>
      </w:r>
      <w:r w:rsidRPr="000A70D3">
        <w:rPr>
          <w:rFonts w:cs="Arial"/>
          <w:sz w:val="20"/>
        </w:rPr>
        <w:t xml:space="preserve">]. This assumes that PK parameters follow a multivariate normal distribution, and that each PK </w:t>
      </w:r>
      <w:r w:rsidR="007A613F" w:rsidRPr="000A70D3">
        <w:rPr>
          <w:rFonts w:cs="Arial"/>
          <w:sz w:val="20"/>
        </w:rPr>
        <w:t>parameter</w:t>
      </w:r>
      <w:r w:rsidRPr="000A70D3">
        <w:rPr>
          <w:rFonts w:cs="Arial"/>
          <w:sz w:val="20"/>
        </w:rPr>
        <w:t xml:space="preserve"> </w:t>
      </w:r>
      <w:r w:rsidR="00C4045A" w:rsidRPr="000A70D3">
        <w:rPr>
          <w:rFonts w:cs="Arial"/>
          <w:sz w:val="20"/>
        </w:rPr>
        <w:t xml:space="preserve">is independent and </w:t>
      </w:r>
      <w:r w:rsidRPr="000A70D3">
        <w:rPr>
          <w:rFonts w:cs="Arial"/>
          <w:sz w:val="20"/>
        </w:rPr>
        <w:t>has the same variance.</w:t>
      </w:r>
      <w:r w:rsidRPr="000A70D3" w:rsidDel="004B46DF">
        <w:rPr>
          <w:rFonts w:cs="Arial"/>
          <w:sz w:val="20"/>
        </w:rPr>
        <w:t xml:space="preserve"> </w:t>
      </w:r>
      <w:r w:rsidRPr="000A70D3">
        <w:rPr>
          <w:rFonts w:cs="Arial"/>
          <w:sz w:val="20"/>
        </w:rPr>
        <w:t>We simulated 20 different subject responses by applying the error model with 20% coefficient of variation (CV) to the volume of the central compartment, systemic elimination rate, distribution rates to and from the peripheral compartments, and the absorption rate from the gastrointestinal (GI) compartment.</w:t>
      </w:r>
      <w:r w:rsidR="00C4045A" w:rsidRPr="000A70D3">
        <w:rPr>
          <w:rFonts w:cs="Arial"/>
          <w:sz w:val="20"/>
        </w:rPr>
        <w:t xml:space="preserve"> Since PK studies are closely controlled, r</w:t>
      </w:r>
      <w:r w:rsidRPr="000A70D3">
        <w:rPr>
          <w:rFonts w:cs="Arial"/>
          <w:sz w:val="20"/>
        </w:rPr>
        <w:t xml:space="preserve">egional deposition and dose were unchanged between subject responses. The goal was to generate replicates with an average that is comparable to the initial simulation with a CV of 20%. To simulate WSV, the exponential error model </w:t>
      </w:r>
      <w:r w:rsidR="00E642CB">
        <w:rPr>
          <w:rFonts w:cs="Arial"/>
          <w:sz w:val="20"/>
        </w:rPr>
        <w:t xml:space="preserve">was </w:t>
      </w:r>
      <w:r w:rsidRPr="000A70D3">
        <w:rPr>
          <w:rFonts w:cs="Arial"/>
          <w:sz w:val="20"/>
        </w:rPr>
        <w:t>also applied at a subset of time points</w:t>
      </w:r>
      <w:r w:rsidRPr="000A70D3" w:rsidDel="00B55404">
        <w:rPr>
          <w:rFonts w:cs="Arial"/>
          <w:sz w:val="20"/>
        </w:rPr>
        <w:t xml:space="preserve"> </w:t>
      </w:r>
      <w:r w:rsidRPr="000A70D3">
        <w:rPr>
          <w:rFonts w:cs="Arial"/>
          <w:sz w:val="20"/>
        </w:rPr>
        <w:t>to each PK profile</w:t>
      </w:r>
      <w:r w:rsidR="00C4045A" w:rsidRPr="000A70D3">
        <w:rPr>
          <w:rFonts w:cs="Arial"/>
          <w:sz w:val="20"/>
        </w:rPr>
        <w:t xml:space="preserve">, assuming a crossover </w:t>
      </w:r>
      <w:r w:rsidR="00E642CB">
        <w:rPr>
          <w:rFonts w:cs="Arial"/>
          <w:sz w:val="20"/>
        </w:rPr>
        <w:t>study</w:t>
      </w:r>
      <w:r w:rsidR="00C4045A" w:rsidRPr="000A70D3">
        <w:rPr>
          <w:rFonts w:cs="Arial"/>
          <w:sz w:val="20"/>
        </w:rPr>
        <w:t xml:space="preserve"> design</w:t>
      </w:r>
      <w:r w:rsidRPr="000A70D3">
        <w:rPr>
          <w:rFonts w:cs="Arial"/>
          <w:sz w:val="20"/>
        </w:rPr>
        <w:t>.</w:t>
      </w:r>
    </w:p>
    <w:p w14:paraId="744AD989" w14:textId="77777777" w:rsidR="005067FC" w:rsidRPr="000A70D3" w:rsidRDefault="005067FC" w:rsidP="005067FC">
      <w:pPr>
        <w:pStyle w:val="DDLHeading1"/>
        <w:tabs>
          <w:tab w:val="right" w:pos="9072"/>
        </w:tabs>
        <w:rPr>
          <w:rFonts w:cs="Arial"/>
          <w:sz w:val="20"/>
          <w:szCs w:val="20"/>
        </w:rPr>
      </w:pPr>
      <w:r w:rsidRPr="000A70D3">
        <w:rPr>
          <w:rFonts w:cs="Arial"/>
          <w:sz w:val="20"/>
          <w:szCs w:val="20"/>
        </w:rPr>
        <w:t>Results</w:t>
      </w:r>
      <w:r w:rsidRPr="000A70D3">
        <w:rPr>
          <w:rFonts w:cs="Arial"/>
          <w:sz w:val="20"/>
          <w:szCs w:val="20"/>
        </w:rPr>
        <w:tab/>
      </w:r>
    </w:p>
    <w:p w14:paraId="76885A59" w14:textId="77777777" w:rsidR="005067FC" w:rsidRPr="000A70D3" w:rsidRDefault="005067FC" w:rsidP="005067FC">
      <w:pPr>
        <w:rPr>
          <w:rFonts w:cs="Arial"/>
          <w:sz w:val="20"/>
          <w:u w:val="single"/>
        </w:rPr>
      </w:pPr>
      <w:r w:rsidRPr="000A70D3">
        <w:rPr>
          <w:rFonts w:cs="Arial"/>
          <w:sz w:val="20"/>
          <w:u w:val="single"/>
        </w:rPr>
        <w:t>In-Silico PK Simulation and Variability Assessment</w:t>
      </w:r>
    </w:p>
    <w:p w14:paraId="67FEF2A7" w14:textId="439389B8" w:rsidR="005067FC" w:rsidRPr="000A70D3" w:rsidRDefault="005067FC" w:rsidP="005067FC">
      <w:pPr>
        <w:rPr>
          <w:rFonts w:cs="Arial"/>
          <w:sz w:val="20"/>
        </w:rPr>
      </w:pPr>
      <w:r w:rsidRPr="000A70D3">
        <w:rPr>
          <w:rFonts w:cs="Arial"/>
          <w:sz w:val="20"/>
        </w:rPr>
        <w:t>Figure 1</w:t>
      </w:r>
      <w:r w:rsidRPr="000A70D3" w:rsidDel="007D0B6E">
        <w:rPr>
          <w:rFonts w:cs="Arial"/>
          <w:sz w:val="20"/>
        </w:rPr>
        <w:t xml:space="preserve"> </w:t>
      </w:r>
      <w:r w:rsidRPr="000A70D3">
        <w:rPr>
          <w:rFonts w:cs="Arial"/>
          <w:sz w:val="20"/>
        </w:rPr>
        <w:t xml:space="preserve">demonstrates that the PK model for </w:t>
      </w:r>
      <w:r w:rsidR="00981FE9" w:rsidRPr="000A70D3">
        <w:rPr>
          <w:rFonts w:cs="Arial"/>
          <w:sz w:val="20"/>
        </w:rPr>
        <w:t>s</w:t>
      </w:r>
      <w:r w:rsidRPr="000A70D3">
        <w:rPr>
          <w:rFonts w:cs="Arial"/>
          <w:sz w:val="20"/>
        </w:rPr>
        <w:t>albutamol can predict</w:t>
      </w:r>
      <w:r w:rsidR="00CF01BE" w:rsidRPr="000A70D3">
        <w:rPr>
          <w:rFonts w:cs="Arial"/>
          <w:sz w:val="20"/>
        </w:rPr>
        <w:t xml:space="preserve"> PK plasma profiles for</w:t>
      </w:r>
      <w:r w:rsidRPr="000A70D3">
        <w:rPr>
          <w:rFonts w:cs="Arial"/>
          <w:sz w:val="20"/>
        </w:rPr>
        <w:t xml:space="preserve"> a variety of product strengths and dosage forms with good alignment to actual PK </w:t>
      </w:r>
      <w:r w:rsidR="00873756" w:rsidRPr="000A70D3">
        <w:rPr>
          <w:rFonts w:cs="Arial"/>
          <w:sz w:val="20"/>
        </w:rPr>
        <w:t xml:space="preserve">study </w:t>
      </w:r>
      <w:r w:rsidRPr="000A70D3">
        <w:rPr>
          <w:rFonts w:cs="Arial"/>
          <w:sz w:val="20"/>
        </w:rPr>
        <w:t>data</w:t>
      </w:r>
      <w:r w:rsidRPr="000A70D3" w:rsidDel="001E2103">
        <w:rPr>
          <w:rFonts w:cs="Arial"/>
          <w:sz w:val="20"/>
        </w:rPr>
        <w:t xml:space="preserve">, </w:t>
      </w:r>
      <w:r w:rsidRPr="000A70D3">
        <w:rPr>
          <w:rFonts w:cs="Arial"/>
          <w:sz w:val="20"/>
        </w:rPr>
        <w:t xml:space="preserve">whereby the reference product is an SMI and the MDI test products A to C delivered different doses.  </w:t>
      </w:r>
    </w:p>
    <w:p w14:paraId="3AAFE748" w14:textId="08EE7DBF" w:rsidR="005067FC" w:rsidRPr="000A70D3" w:rsidRDefault="00D47DB1" w:rsidP="005067FC">
      <w:pPr>
        <w:keepNext/>
        <w:spacing w:after="0"/>
        <w:rPr>
          <w:rFonts w:cs="Arial"/>
          <w:sz w:val="20"/>
        </w:rPr>
      </w:pPr>
      <w:r w:rsidRPr="000A70D3">
        <w:rPr>
          <w:rFonts w:cs="Arial"/>
          <w:noProof/>
          <w:sz w:val="20"/>
        </w:rPr>
        <w:drawing>
          <wp:inline distT="0" distB="0" distL="0" distR="0" wp14:anchorId="405ACD3F" wp14:editId="25C25F9E">
            <wp:extent cx="3510000" cy="2340000"/>
            <wp:effectExtent l="0" t="0" r="0" b="3175"/>
            <wp:docPr id="642563841" name="Picture 642563841" descr="A graph of a t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63841" name="Picture 1" descr="A graph of a test&#10;&#10;Description automatically generated with medium confidence"/>
                    <pic:cNvPicPr/>
                  </pic:nvPicPr>
                  <pic:blipFill>
                    <a:blip r:embed="rId11"/>
                    <a:stretch>
                      <a:fillRect/>
                    </a:stretch>
                  </pic:blipFill>
                  <pic:spPr>
                    <a:xfrm>
                      <a:off x="0" y="0"/>
                      <a:ext cx="3510000" cy="2340000"/>
                    </a:xfrm>
                    <a:prstGeom prst="rect">
                      <a:avLst/>
                    </a:prstGeom>
                  </pic:spPr>
                </pic:pic>
              </a:graphicData>
            </a:graphic>
          </wp:inline>
        </w:drawing>
      </w:r>
    </w:p>
    <w:p w14:paraId="09487D3E" w14:textId="751ADC90" w:rsidR="005067FC" w:rsidRPr="000A70D3" w:rsidRDefault="005067FC" w:rsidP="005067FC">
      <w:pPr>
        <w:pStyle w:val="Caption"/>
        <w:rPr>
          <w:rFonts w:cs="Arial"/>
          <w:b w:val="0"/>
          <w:bCs w:val="0"/>
          <w:i/>
          <w:iCs/>
        </w:rPr>
      </w:pPr>
      <w:r w:rsidRPr="000A70D3">
        <w:rPr>
          <w:rFonts w:cs="Arial"/>
        </w:rPr>
        <w:t xml:space="preserve">Figure </w:t>
      </w:r>
      <w:r w:rsidRPr="000A70D3">
        <w:rPr>
          <w:rFonts w:cs="Arial"/>
          <w:i/>
          <w:iCs/>
        </w:rPr>
        <w:fldChar w:fldCharType="begin"/>
      </w:r>
      <w:r w:rsidRPr="000A70D3">
        <w:rPr>
          <w:rFonts w:cs="Arial"/>
        </w:rPr>
        <w:instrText xml:space="preserve"> SEQ Figure \* ARABIC </w:instrText>
      </w:r>
      <w:r w:rsidRPr="000A70D3">
        <w:rPr>
          <w:rFonts w:cs="Arial"/>
          <w:i/>
          <w:iCs/>
        </w:rPr>
        <w:fldChar w:fldCharType="separate"/>
      </w:r>
      <w:r w:rsidR="00357B39">
        <w:rPr>
          <w:rFonts w:cs="Arial"/>
          <w:noProof/>
        </w:rPr>
        <w:t>1</w:t>
      </w:r>
      <w:r w:rsidRPr="000A70D3">
        <w:rPr>
          <w:rFonts w:cs="Arial"/>
          <w:i/>
          <w:iCs/>
        </w:rPr>
        <w:fldChar w:fldCharType="end"/>
      </w:r>
      <w:r w:rsidR="006E5E86" w:rsidRPr="000A70D3">
        <w:rPr>
          <w:rFonts w:cs="Arial"/>
        </w:rPr>
        <w:t xml:space="preserve">: </w:t>
      </w:r>
      <w:r w:rsidRPr="000A70D3">
        <w:rPr>
          <w:rFonts w:cs="Arial"/>
        </w:rPr>
        <w:t xml:space="preserve">Average </w:t>
      </w:r>
      <w:r w:rsidR="006E5E86" w:rsidRPr="000A70D3">
        <w:rPr>
          <w:rFonts w:cs="Arial"/>
        </w:rPr>
        <w:t xml:space="preserve">Salbutamol </w:t>
      </w:r>
      <w:r w:rsidRPr="000A70D3">
        <w:rPr>
          <w:rFonts w:cs="Arial"/>
        </w:rPr>
        <w:t xml:space="preserve">Plasma Concentration Over Time </w:t>
      </w:r>
      <w:r w:rsidR="006E5E86" w:rsidRPr="000A70D3">
        <w:rPr>
          <w:rFonts w:cs="Arial"/>
        </w:rPr>
        <w:t xml:space="preserve">Showing </w:t>
      </w:r>
      <w:r w:rsidRPr="000A70D3">
        <w:rPr>
          <w:rFonts w:cs="Arial"/>
        </w:rPr>
        <w:t xml:space="preserve">Predicted vs Actual Data </w:t>
      </w:r>
      <w:r w:rsidR="006E5E86" w:rsidRPr="000A70D3">
        <w:rPr>
          <w:rFonts w:cs="Arial"/>
        </w:rPr>
        <w:t xml:space="preserve">for </w:t>
      </w:r>
      <w:r w:rsidR="00E642CB">
        <w:rPr>
          <w:rFonts w:cs="Arial"/>
        </w:rPr>
        <w:t xml:space="preserve">an SMI Reference Product and </w:t>
      </w:r>
      <w:r w:rsidR="006E5E86" w:rsidRPr="000A70D3">
        <w:rPr>
          <w:rFonts w:cs="Arial"/>
        </w:rPr>
        <w:t xml:space="preserve">Different </w:t>
      </w:r>
      <w:r w:rsidR="00E642CB">
        <w:rPr>
          <w:rFonts w:cs="Arial"/>
        </w:rPr>
        <w:t xml:space="preserve">MDI Test </w:t>
      </w:r>
      <w:r w:rsidR="006E5E86" w:rsidRPr="000A70D3">
        <w:rPr>
          <w:rFonts w:cs="Arial"/>
        </w:rPr>
        <w:t>Products</w:t>
      </w:r>
    </w:p>
    <w:p w14:paraId="66F9FC4D" w14:textId="77777777" w:rsidR="006E5E86" w:rsidRPr="000A70D3" w:rsidRDefault="006E5E86" w:rsidP="005067FC">
      <w:pPr>
        <w:rPr>
          <w:rFonts w:cs="Arial"/>
          <w:sz w:val="16"/>
          <w:szCs w:val="16"/>
        </w:rPr>
      </w:pPr>
    </w:p>
    <w:p w14:paraId="3CF95CF6" w14:textId="2CDAF51C" w:rsidR="005067FC" w:rsidRPr="000A70D3" w:rsidRDefault="005067FC" w:rsidP="005067FC">
      <w:pPr>
        <w:rPr>
          <w:rFonts w:cs="Arial"/>
          <w:noProof/>
          <w:sz w:val="20"/>
        </w:rPr>
      </w:pPr>
      <w:r w:rsidRPr="000A70D3">
        <w:rPr>
          <w:rFonts w:cs="Arial"/>
          <w:sz w:val="20"/>
        </w:rPr>
        <w:t xml:space="preserve">Figure 2a is a semi log plot of the predicted </w:t>
      </w:r>
      <w:r w:rsidR="008455CA" w:rsidRPr="000A70D3">
        <w:rPr>
          <w:rFonts w:cs="Arial"/>
          <w:sz w:val="20"/>
        </w:rPr>
        <w:t xml:space="preserve">plasma profile for </w:t>
      </w:r>
      <w:r w:rsidRPr="000A70D3">
        <w:rPr>
          <w:rFonts w:cs="Arial"/>
          <w:sz w:val="20"/>
        </w:rPr>
        <w:t xml:space="preserve">Test B from Figure 1, </w:t>
      </w:r>
      <w:r w:rsidR="000C49C6" w:rsidRPr="000A70D3">
        <w:rPr>
          <w:rFonts w:cs="Arial"/>
          <w:sz w:val="20"/>
        </w:rPr>
        <w:t xml:space="preserve">with </w:t>
      </w:r>
      <w:r w:rsidRPr="000A70D3">
        <w:rPr>
          <w:rFonts w:cs="Arial"/>
          <w:sz w:val="20"/>
        </w:rPr>
        <w:t xml:space="preserve">simulated data against 20 replicates and the </w:t>
      </w:r>
      <w:r w:rsidR="007158D6" w:rsidRPr="000A70D3">
        <w:rPr>
          <w:rFonts w:cs="Arial"/>
          <w:sz w:val="20"/>
        </w:rPr>
        <w:t xml:space="preserve">resulting </w:t>
      </w:r>
      <w:r w:rsidRPr="000A70D3">
        <w:rPr>
          <w:rFonts w:cs="Arial"/>
          <w:sz w:val="20"/>
        </w:rPr>
        <w:t>average profile. A clear overlap of the original and average replicate data is observed.</w:t>
      </w:r>
      <w:r w:rsidRPr="000A70D3">
        <w:rPr>
          <w:rFonts w:cs="Arial"/>
          <w:noProof/>
          <w:sz w:val="20"/>
        </w:rPr>
        <w:t xml:space="preserve"> The application of WSV, presented in Figure 2b, also results in the average of all replicates overlapping.</w:t>
      </w:r>
    </w:p>
    <w:p w14:paraId="1AD3DFCE" w14:textId="47D96674" w:rsidR="005067FC" w:rsidRPr="000A70D3" w:rsidRDefault="00504251" w:rsidP="005067FC">
      <w:pPr>
        <w:keepNext/>
        <w:spacing w:after="0"/>
        <w:rPr>
          <w:rFonts w:cs="Arial"/>
          <w:sz w:val="20"/>
        </w:rPr>
      </w:pPr>
      <w:r w:rsidRPr="000A70D3">
        <w:rPr>
          <w:rFonts w:cs="Arial"/>
          <w:noProof/>
          <w:sz w:val="20"/>
        </w:rPr>
        <w:lastRenderedPageBreak/>
        <w:drawing>
          <wp:inline distT="0" distB="0" distL="0" distR="0" wp14:anchorId="7A3C3C0A" wp14:editId="429F232E">
            <wp:extent cx="2845558" cy="1897039"/>
            <wp:effectExtent l="0" t="0" r="0" b="8255"/>
            <wp:docPr id="727966304" name="Picture 727966304"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66304" name="Picture 1" descr="A graph of a line&#10;&#10;Description automatically generated with medium confidence"/>
                    <pic:cNvPicPr/>
                  </pic:nvPicPr>
                  <pic:blipFill>
                    <a:blip r:embed="rId12"/>
                    <a:stretch>
                      <a:fillRect/>
                    </a:stretch>
                  </pic:blipFill>
                  <pic:spPr>
                    <a:xfrm>
                      <a:off x="0" y="0"/>
                      <a:ext cx="2861141" cy="1907428"/>
                    </a:xfrm>
                    <a:prstGeom prst="rect">
                      <a:avLst/>
                    </a:prstGeom>
                  </pic:spPr>
                </pic:pic>
              </a:graphicData>
            </a:graphic>
          </wp:inline>
        </w:drawing>
      </w:r>
      <w:r w:rsidR="005067FC" w:rsidRPr="000A70D3">
        <w:rPr>
          <w:rFonts w:cs="Arial"/>
          <w:noProof/>
          <w:sz w:val="20"/>
        </w:rPr>
        <w:t xml:space="preserve"> </w:t>
      </w:r>
      <w:r w:rsidRPr="000A70D3">
        <w:rPr>
          <w:rFonts w:cs="Arial"/>
          <w:noProof/>
          <w:sz w:val="20"/>
        </w:rPr>
        <w:drawing>
          <wp:inline distT="0" distB="0" distL="0" distR="0" wp14:anchorId="011D219B" wp14:editId="58AB213C">
            <wp:extent cx="2852382" cy="1901588"/>
            <wp:effectExtent l="0" t="0" r="5715" b="3810"/>
            <wp:docPr id="1795751178" name="Picture 1795751178" descr="A graph showing a line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51178" name="Picture 1" descr="A graph showing a line of data&#10;&#10;Description automatically generated with medium confidence"/>
                    <pic:cNvPicPr/>
                  </pic:nvPicPr>
                  <pic:blipFill>
                    <a:blip r:embed="rId13"/>
                    <a:stretch>
                      <a:fillRect/>
                    </a:stretch>
                  </pic:blipFill>
                  <pic:spPr>
                    <a:xfrm>
                      <a:off x="0" y="0"/>
                      <a:ext cx="2879114" cy="1919409"/>
                    </a:xfrm>
                    <a:prstGeom prst="rect">
                      <a:avLst/>
                    </a:prstGeom>
                  </pic:spPr>
                </pic:pic>
              </a:graphicData>
            </a:graphic>
          </wp:inline>
        </w:drawing>
      </w:r>
    </w:p>
    <w:p w14:paraId="4D3DAAAA" w14:textId="787076F1" w:rsidR="005067FC" w:rsidRPr="000A70D3" w:rsidRDefault="005067FC" w:rsidP="005067FC">
      <w:pPr>
        <w:pStyle w:val="Caption"/>
        <w:keepNext/>
        <w:rPr>
          <w:rFonts w:cs="Arial"/>
          <w:i/>
          <w:iCs/>
        </w:rPr>
      </w:pPr>
      <w:r w:rsidRPr="000A70D3">
        <w:rPr>
          <w:rFonts w:cs="Arial"/>
        </w:rPr>
        <w:t xml:space="preserve">Figure </w:t>
      </w:r>
      <w:r w:rsidRPr="000A70D3">
        <w:rPr>
          <w:rFonts w:cs="Arial"/>
          <w:i/>
          <w:iCs/>
        </w:rPr>
        <w:fldChar w:fldCharType="begin"/>
      </w:r>
      <w:r w:rsidRPr="000A70D3">
        <w:rPr>
          <w:rFonts w:cs="Arial"/>
        </w:rPr>
        <w:instrText xml:space="preserve"> SEQ Figure \* ARABIC </w:instrText>
      </w:r>
      <w:r w:rsidRPr="000A70D3">
        <w:rPr>
          <w:rFonts w:cs="Arial"/>
          <w:i/>
          <w:iCs/>
        </w:rPr>
        <w:fldChar w:fldCharType="separate"/>
      </w:r>
      <w:r w:rsidR="00357B39">
        <w:rPr>
          <w:rFonts w:cs="Arial"/>
          <w:noProof/>
        </w:rPr>
        <w:t>2</w:t>
      </w:r>
      <w:r w:rsidRPr="000A70D3">
        <w:rPr>
          <w:rFonts w:cs="Arial"/>
          <w:i/>
          <w:iCs/>
        </w:rPr>
        <w:fldChar w:fldCharType="end"/>
      </w:r>
      <w:r w:rsidR="006E5E86" w:rsidRPr="000A70D3">
        <w:rPr>
          <w:rFonts w:cs="Arial"/>
        </w:rPr>
        <w:t xml:space="preserve">: </w:t>
      </w:r>
      <w:r w:rsidRPr="000A70D3">
        <w:rPr>
          <w:rFonts w:cs="Arial"/>
        </w:rPr>
        <w:t xml:space="preserve">Average </w:t>
      </w:r>
      <w:r w:rsidR="006E5E86" w:rsidRPr="000A70D3">
        <w:rPr>
          <w:rFonts w:cs="Arial"/>
        </w:rPr>
        <w:t xml:space="preserve">Salbutamol </w:t>
      </w:r>
      <w:r w:rsidRPr="000A70D3">
        <w:rPr>
          <w:rFonts w:cs="Arial"/>
        </w:rPr>
        <w:t xml:space="preserve">Plasma Concentration Over Time </w:t>
      </w:r>
      <w:r w:rsidR="006E5E86" w:rsidRPr="000A70D3">
        <w:rPr>
          <w:rFonts w:cs="Arial"/>
        </w:rPr>
        <w:t xml:space="preserve">for </w:t>
      </w:r>
      <w:r w:rsidR="00372B86" w:rsidRPr="000A70D3">
        <w:rPr>
          <w:rFonts w:cs="Arial"/>
        </w:rPr>
        <w:t xml:space="preserve">Test B </w:t>
      </w:r>
      <w:r w:rsidRPr="000A70D3">
        <w:rPr>
          <w:rFonts w:cs="Arial"/>
        </w:rPr>
        <w:t xml:space="preserve">Simulated Data with (a) BSV and (b) BSV and WSV </w:t>
      </w:r>
      <w:r w:rsidR="00D0705C" w:rsidRPr="000A70D3">
        <w:rPr>
          <w:rFonts w:cs="Arial"/>
        </w:rPr>
        <w:t>A</w:t>
      </w:r>
      <w:r w:rsidRPr="000A70D3">
        <w:rPr>
          <w:rFonts w:cs="Arial"/>
        </w:rPr>
        <w:t>pplied.</w:t>
      </w:r>
    </w:p>
    <w:p w14:paraId="290B216D" w14:textId="77777777" w:rsidR="00222716" w:rsidRPr="000A70D3" w:rsidRDefault="00222716" w:rsidP="005067FC">
      <w:pPr>
        <w:rPr>
          <w:rFonts w:cs="Arial"/>
          <w:sz w:val="16"/>
          <w:szCs w:val="16"/>
        </w:rPr>
      </w:pPr>
    </w:p>
    <w:p w14:paraId="51C92AE0" w14:textId="4264C813" w:rsidR="005067FC" w:rsidRPr="000A70D3" w:rsidRDefault="00CA7665" w:rsidP="005067FC">
      <w:pPr>
        <w:rPr>
          <w:rFonts w:cs="Arial"/>
          <w:sz w:val="20"/>
        </w:rPr>
      </w:pPr>
      <w:r w:rsidRPr="000A70D3">
        <w:rPr>
          <w:rFonts w:cs="Arial"/>
          <w:sz w:val="20"/>
        </w:rPr>
        <w:t xml:space="preserve">Using the </w:t>
      </w:r>
      <w:r w:rsidR="00226877" w:rsidRPr="000A70D3">
        <w:rPr>
          <w:rFonts w:cs="Arial"/>
          <w:sz w:val="20"/>
        </w:rPr>
        <w:t xml:space="preserve">model, </w:t>
      </w:r>
      <w:r w:rsidR="00226D0C" w:rsidRPr="000A70D3">
        <w:rPr>
          <w:rFonts w:cs="Arial"/>
          <w:sz w:val="20"/>
        </w:rPr>
        <w:t xml:space="preserve">average </w:t>
      </w:r>
      <w:r w:rsidR="005067FC" w:rsidRPr="000A70D3">
        <w:rPr>
          <w:rFonts w:cs="Arial"/>
          <w:sz w:val="20"/>
        </w:rPr>
        <w:t xml:space="preserve">PK </w:t>
      </w:r>
      <w:r w:rsidR="000B268C" w:rsidRPr="000A70D3">
        <w:rPr>
          <w:rFonts w:cs="Arial"/>
          <w:sz w:val="20"/>
        </w:rPr>
        <w:t>parameters</w:t>
      </w:r>
      <w:r w:rsidR="005067FC" w:rsidRPr="000A70D3">
        <w:rPr>
          <w:rFonts w:cs="Arial"/>
          <w:sz w:val="20"/>
        </w:rPr>
        <w:t xml:space="preserve">, including CV, were calculated for each replicate generated, refer to Table 1. The average and CV for BSV and WSV replicates are comparable </w:t>
      </w:r>
      <w:r w:rsidR="00B93A97" w:rsidRPr="000A70D3">
        <w:rPr>
          <w:rFonts w:cs="Arial"/>
          <w:sz w:val="20"/>
        </w:rPr>
        <w:t xml:space="preserve">for </w:t>
      </w:r>
      <w:r w:rsidR="003457B2" w:rsidRPr="000A70D3">
        <w:rPr>
          <w:rFonts w:cs="Arial"/>
          <w:sz w:val="20"/>
        </w:rPr>
        <w:t>AUC</w:t>
      </w:r>
      <w:r w:rsidR="003457B2" w:rsidRPr="000A70D3">
        <w:rPr>
          <w:rFonts w:cs="Arial"/>
          <w:sz w:val="20"/>
          <w:vertAlign w:val="subscript"/>
        </w:rPr>
        <w:t>0-24</w:t>
      </w:r>
      <w:r w:rsidR="003457B2" w:rsidRPr="000A70D3">
        <w:rPr>
          <w:rFonts w:cs="Arial"/>
          <w:sz w:val="20"/>
        </w:rPr>
        <w:t xml:space="preserve">.  </w:t>
      </w:r>
      <w:r w:rsidR="008A0139" w:rsidRPr="000A70D3">
        <w:rPr>
          <w:rFonts w:cs="Arial"/>
          <w:sz w:val="20"/>
        </w:rPr>
        <w:t>A</w:t>
      </w:r>
      <w:r w:rsidR="005067FC" w:rsidRPr="000A70D3">
        <w:rPr>
          <w:rFonts w:cs="Arial"/>
          <w:sz w:val="20"/>
        </w:rPr>
        <w:t xml:space="preserve"> higher average Cmax </w:t>
      </w:r>
      <w:r w:rsidR="009B3116" w:rsidRPr="000A70D3">
        <w:rPr>
          <w:rFonts w:cs="Arial"/>
          <w:sz w:val="20"/>
        </w:rPr>
        <w:t xml:space="preserve">is predicted </w:t>
      </w:r>
      <w:r w:rsidR="005067FC" w:rsidRPr="000A70D3">
        <w:rPr>
          <w:rFonts w:cs="Arial"/>
          <w:sz w:val="20"/>
        </w:rPr>
        <w:t>for WSV</w:t>
      </w:r>
      <w:r w:rsidR="00276C21" w:rsidRPr="000A70D3">
        <w:rPr>
          <w:rFonts w:cs="Arial"/>
          <w:sz w:val="20"/>
        </w:rPr>
        <w:t xml:space="preserve"> replicates</w:t>
      </w:r>
      <w:r w:rsidR="005067FC" w:rsidRPr="000A70D3">
        <w:rPr>
          <w:rFonts w:cs="Arial"/>
          <w:sz w:val="20"/>
        </w:rPr>
        <w:t xml:space="preserve">, and </w:t>
      </w:r>
      <w:r w:rsidR="009B3116" w:rsidRPr="000A70D3">
        <w:rPr>
          <w:rFonts w:cs="Arial"/>
          <w:sz w:val="20"/>
        </w:rPr>
        <w:t xml:space="preserve">for </w:t>
      </w:r>
      <w:r w:rsidR="005067FC" w:rsidRPr="000A70D3">
        <w:rPr>
          <w:rFonts w:cs="Arial"/>
          <w:sz w:val="20"/>
        </w:rPr>
        <w:t>Tmax</w:t>
      </w:r>
      <w:r w:rsidR="00596A2E" w:rsidRPr="000A70D3">
        <w:rPr>
          <w:rFonts w:cs="Arial"/>
          <w:sz w:val="20"/>
        </w:rPr>
        <w:t xml:space="preserve">, </w:t>
      </w:r>
      <w:r w:rsidR="005067FC" w:rsidRPr="000A70D3">
        <w:rPr>
          <w:rFonts w:cs="Arial"/>
          <w:sz w:val="20"/>
        </w:rPr>
        <w:t>the CV is lower than expected for BSV</w:t>
      </w:r>
      <w:r w:rsidR="00596A2E" w:rsidRPr="000A70D3">
        <w:rPr>
          <w:rFonts w:cs="Arial"/>
          <w:sz w:val="20"/>
        </w:rPr>
        <w:t xml:space="preserve"> replicates</w:t>
      </w:r>
      <w:r w:rsidR="005067FC" w:rsidRPr="000A70D3">
        <w:rPr>
          <w:rFonts w:cs="Arial"/>
          <w:sz w:val="20"/>
        </w:rPr>
        <w:t xml:space="preserve"> and the average and CV is higher than expected for WSV</w:t>
      </w:r>
      <w:r w:rsidR="00596A2E" w:rsidRPr="000A70D3">
        <w:rPr>
          <w:rFonts w:cs="Arial"/>
          <w:sz w:val="20"/>
        </w:rPr>
        <w:t xml:space="preserve"> replicates</w:t>
      </w:r>
      <w:r w:rsidR="005067FC" w:rsidRPr="000A70D3">
        <w:rPr>
          <w:rFonts w:cs="Arial"/>
          <w:sz w:val="20"/>
        </w:rPr>
        <w:t xml:space="preserve">. </w:t>
      </w:r>
    </w:p>
    <w:tbl>
      <w:tblPr>
        <w:tblStyle w:val="TableGrid"/>
        <w:tblW w:w="5000" w:type="pct"/>
        <w:tblLook w:val="04A0" w:firstRow="1" w:lastRow="0" w:firstColumn="1" w:lastColumn="0" w:noHBand="0" w:noVBand="1"/>
      </w:tblPr>
      <w:tblGrid>
        <w:gridCol w:w="2264"/>
        <w:gridCol w:w="1417"/>
        <w:gridCol w:w="1417"/>
        <w:gridCol w:w="1135"/>
        <w:gridCol w:w="1417"/>
        <w:gridCol w:w="1412"/>
      </w:tblGrid>
      <w:tr w:rsidR="005067FC" w:rsidRPr="000A70D3" w14:paraId="18D18915" w14:textId="77777777">
        <w:trPr>
          <w:trHeight w:val="113"/>
        </w:trPr>
        <w:tc>
          <w:tcPr>
            <w:tcW w:w="1249" w:type="pct"/>
            <w:vMerge w:val="restart"/>
            <w:vAlign w:val="center"/>
          </w:tcPr>
          <w:p w14:paraId="2D7EBB87" w14:textId="782EC886" w:rsidR="005067FC" w:rsidRPr="000A70D3" w:rsidRDefault="005067FC">
            <w:pPr>
              <w:spacing w:after="0"/>
              <w:jc w:val="left"/>
              <w:rPr>
                <w:rFonts w:cs="Arial"/>
                <w:b/>
                <w:color w:val="000000"/>
                <w:sz w:val="20"/>
                <w:szCs w:val="20"/>
              </w:rPr>
            </w:pPr>
            <w:r w:rsidRPr="000A70D3">
              <w:rPr>
                <w:rFonts w:cs="Arial"/>
                <w:b/>
                <w:color w:val="000000"/>
                <w:sz w:val="20"/>
                <w:szCs w:val="20"/>
              </w:rPr>
              <w:t xml:space="preserve">PK </w:t>
            </w:r>
            <w:r w:rsidR="00257A74" w:rsidRPr="000A70D3">
              <w:rPr>
                <w:rFonts w:cs="Arial"/>
                <w:b/>
                <w:color w:val="000000"/>
                <w:sz w:val="20"/>
                <w:szCs w:val="20"/>
              </w:rPr>
              <w:t>Parameter</w:t>
            </w:r>
          </w:p>
        </w:tc>
        <w:tc>
          <w:tcPr>
            <w:tcW w:w="782" w:type="pct"/>
            <w:vMerge w:val="restart"/>
            <w:vAlign w:val="center"/>
          </w:tcPr>
          <w:p w14:paraId="71ECEFF3" w14:textId="77777777" w:rsidR="005067FC" w:rsidRPr="000A70D3" w:rsidRDefault="005067FC">
            <w:pPr>
              <w:spacing w:after="0"/>
              <w:jc w:val="left"/>
              <w:rPr>
                <w:rFonts w:cs="Arial"/>
                <w:b/>
                <w:color w:val="000000"/>
                <w:sz w:val="20"/>
                <w:szCs w:val="20"/>
              </w:rPr>
            </w:pPr>
            <w:r w:rsidRPr="000A70D3">
              <w:rPr>
                <w:rFonts w:cs="Arial"/>
                <w:b/>
                <w:color w:val="000000"/>
                <w:sz w:val="20"/>
                <w:szCs w:val="20"/>
              </w:rPr>
              <w:t>Original Simulation</w:t>
            </w:r>
          </w:p>
        </w:tc>
        <w:tc>
          <w:tcPr>
            <w:tcW w:w="1408" w:type="pct"/>
            <w:gridSpan w:val="2"/>
            <w:vAlign w:val="center"/>
          </w:tcPr>
          <w:p w14:paraId="29BE292D" w14:textId="77777777" w:rsidR="005067FC" w:rsidRPr="000A70D3" w:rsidRDefault="005067FC">
            <w:pPr>
              <w:spacing w:after="0"/>
              <w:jc w:val="left"/>
              <w:rPr>
                <w:rFonts w:cs="Arial"/>
                <w:b/>
                <w:color w:val="000000"/>
                <w:sz w:val="20"/>
                <w:szCs w:val="20"/>
              </w:rPr>
            </w:pPr>
            <w:r w:rsidRPr="000A70D3">
              <w:rPr>
                <w:rFonts w:cs="Arial"/>
                <w:b/>
                <w:color w:val="000000"/>
                <w:sz w:val="20"/>
                <w:szCs w:val="20"/>
              </w:rPr>
              <w:t>BSV Replicates</w:t>
            </w:r>
          </w:p>
        </w:tc>
        <w:tc>
          <w:tcPr>
            <w:tcW w:w="1561" w:type="pct"/>
            <w:gridSpan w:val="2"/>
            <w:vAlign w:val="center"/>
          </w:tcPr>
          <w:p w14:paraId="7F3E6C66" w14:textId="77777777" w:rsidR="005067FC" w:rsidRPr="000A70D3" w:rsidRDefault="005067FC">
            <w:pPr>
              <w:spacing w:after="0"/>
              <w:jc w:val="left"/>
              <w:rPr>
                <w:rFonts w:cs="Arial"/>
                <w:b/>
                <w:color w:val="000000"/>
                <w:sz w:val="20"/>
              </w:rPr>
            </w:pPr>
            <w:r w:rsidRPr="000A70D3">
              <w:rPr>
                <w:rFonts w:cs="Arial"/>
                <w:b/>
                <w:color w:val="000000"/>
                <w:sz w:val="20"/>
              </w:rPr>
              <w:t>WSV Replicates</w:t>
            </w:r>
          </w:p>
        </w:tc>
      </w:tr>
      <w:tr w:rsidR="005067FC" w:rsidRPr="000A70D3" w14:paraId="28888434" w14:textId="77777777">
        <w:trPr>
          <w:trHeight w:val="113"/>
        </w:trPr>
        <w:tc>
          <w:tcPr>
            <w:tcW w:w="1249" w:type="pct"/>
            <w:vMerge/>
            <w:vAlign w:val="center"/>
          </w:tcPr>
          <w:p w14:paraId="3984A034" w14:textId="77777777" w:rsidR="005067FC" w:rsidRPr="000A70D3" w:rsidRDefault="005067FC">
            <w:pPr>
              <w:spacing w:after="0"/>
              <w:jc w:val="left"/>
              <w:rPr>
                <w:rFonts w:cs="Arial"/>
                <w:b/>
                <w:color w:val="000000"/>
                <w:sz w:val="20"/>
              </w:rPr>
            </w:pPr>
          </w:p>
        </w:tc>
        <w:tc>
          <w:tcPr>
            <w:tcW w:w="782" w:type="pct"/>
            <w:vMerge/>
            <w:vAlign w:val="center"/>
          </w:tcPr>
          <w:p w14:paraId="3002BFDC" w14:textId="77777777" w:rsidR="005067FC" w:rsidRPr="000A70D3" w:rsidRDefault="005067FC">
            <w:pPr>
              <w:spacing w:after="0"/>
              <w:jc w:val="left"/>
              <w:rPr>
                <w:rFonts w:cs="Arial"/>
                <w:b/>
                <w:color w:val="000000"/>
                <w:sz w:val="20"/>
              </w:rPr>
            </w:pPr>
          </w:p>
        </w:tc>
        <w:tc>
          <w:tcPr>
            <w:tcW w:w="782" w:type="pct"/>
            <w:vAlign w:val="center"/>
          </w:tcPr>
          <w:p w14:paraId="74873402" w14:textId="77777777" w:rsidR="005067FC" w:rsidRPr="000A70D3" w:rsidRDefault="005067FC">
            <w:pPr>
              <w:spacing w:after="0"/>
              <w:jc w:val="left"/>
              <w:rPr>
                <w:rFonts w:cs="Arial"/>
                <w:b/>
                <w:color w:val="000000"/>
                <w:sz w:val="20"/>
              </w:rPr>
            </w:pPr>
            <w:r w:rsidRPr="000A70D3">
              <w:rPr>
                <w:rFonts w:cs="Arial"/>
                <w:b/>
                <w:color w:val="000000"/>
                <w:sz w:val="20"/>
              </w:rPr>
              <w:t>Average</w:t>
            </w:r>
          </w:p>
        </w:tc>
        <w:tc>
          <w:tcPr>
            <w:tcW w:w="626" w:type="pct"/>
            <w:vAlign w:val="center"/>
          </w:tcPr>
          <w:p w14:paraId="01E32FCF" w14:textId="77777777" w:rsidR="005067FC" w:rsidRPr="000A70D3" w:rsidRDefault="005067FC">
            <w:pPr>
              <w:spacing w:after="0"/>
              <w:jc w:val="left"/>
              <w:rPr>
                <w:rFonts w:cs="Arial"/>
                <w:b/>
                <w:color w:val="000000"/>
                <w:sz w:val="20"/>
              </w:rPr>
            </w:pPr>
            <w:r w:rsidRPr="000A70D3">
              <w:rPr>
                <w:rFonts w:cs="Arial"/>
                <w:b/>
                <w:color w:val="000000"/>
                <w:sz w:val="20"/>
              </w:rPr>
              <w:t>CV %</w:t>
            </w:r>
          </w:p>
        </w:tc>
        <w:tc>
          <w:tcPr>
            <w:tcW w:w="782" w:type="pct"/>
            <w:vAlign w:val="center"/>
          </w:tcPr>
          <w:p w14:paraId="03ADCE14" w14:textId="77777777" w:rsidR="005067FC" w:rsidRPr="000A70D3" w:rsidRDefault="005067FC">
            <w:pPr>
              <w:spacing w:after="0"/>
              <w:jc w:val="left"/>
              <w:rPr>
                <w:rFonts w:cs="Arial"/>
                <w:b/>
                <w:color w:val="000000"/>
                <w:sz w:val="20"/>
              </w:rPr>
            </w:pPr>
            <w:r w:rsidRPr="000A70D3">
              <w:rPr>
                <w:rFonts w:cs="Arial"/>
                <w:b/>
                <w:color w:val="000000"/>
                <w:sz w:val="20"/>
              </w:rPr>
              <w:t>Average</w:t>
            </w:r>
          </w:p>
        </w:tc>
        <w:tc>
          <w:tcPr>
            <w:tcW w:w="779" w:type="pct"/>
            <w:vAlign w:val="center"/>
          </w:tcPr>
          <w:p w14:paraId="3DC77962" w14:textId="77777777" w:rsidR="005067FC" w:rsidRPr="000A70D3" w:rsidRDefault="005067FC">
            <w:pPr>
              <w:spacing w:after="0"/>
              <w:jc w:val="left"/>
              <w:rPr>
                <w:rFonts w:cs="Arial"/>
                <w:b/>
                <w:color w:val="000000"/>
                <w:sz w:val="20"/>
              </w:rPr>
            </w:pPr>
            <w:r w:rsidRPr="000A70D3">
              <w:rPr>
                <w:rFonts w:cs="Arial"/>
                <w:b/>
                <w:color w:val="000000"/>
                <w:sz w:val="20"/>
              </w:rPr>
              <w:t>CV %</w:t>
            </w:r>
          </w:p>
        </w:tc>
      </w:tr>
      <w:tr w:rsidR="005067FC" w:rsidRPr="000A70D3" w14:paraId="49D790F4" w14:textId="77777777">
        <w:trPr>
          <w:trHeight w:val="20"/>
        </w:trPr>
        <w:tc>
          <w:tcPr>
            <w:tcW w:w="1249" w:type="pct"/>
          </w:tcPr>
          <w:p w14:paraId="184480C1" w14:textId="77777777" w:rsidR="005067FC" w:rsidRPr="000A70D3" w:rsidRDefault="005067FC">
            <w:pPr>
              <w:spacing w:after="0"/>
              <w:jc w:val="left"/>
              <w:rPr>
                <w:rFonts w:cs="Arial"/>
                <w:b/>
                <w:color w:val="000000"/>
                <w:sz w:val="20"/>
                <w:szCs w:val="20"/>
              </w:rPr>
            </w:pPr>
            <w:r w:rsidRPr="000A70D3">
              <w:rPr>
                <w:rFonts w:cs="Arial"/>
                <w:b/>
                <w:color w:val="000000"/>
                <w:sz w:val="20"/>
                <w:szCs w:val="20"/>
              </w:rPr>
              <w:t>AUC</w:t>
            </w:r>
            <w:r w:rsidRPr="000A70D3">
              <w:rPr>
                <w:rFonts w:cs="Arial"/>
                <w:b/>
                <w:color w:val="000000"/>
                <w:sz w:val="20"/>
                <w:szCs w:val="20"/>
                <w:vertAlign w:val="subscript"/>
              </w:rPr>
              <w:t xml:space="preserve">0-24 </w:t>
            </w:r>
            <w:r w:rsidRPr="000A70D3">
              <w:rPr>
                <w:rFonts w:cs="Arial"/>
                <w:b/>
                <w:color w:val="000000"/>
                <w:sz w:val="20"/>
                <w:szCs w:val="20"/>
              </w:rPr>
              <w:t>(pg mL</w:t>
            </w:r>
            <w:r w:rsidRPr="000A70D3">
              <w:rPr>
                <w:rFonts w:ascii="Cambria Math" w:hAnsi="Cambria Math" w:cs="Cambria Math"/>
                <w:b/>
                <w:color w:val="000000"/>
                <w:sz w:val="20"/>
                <w:szCs w:val="20"/>
              </w:rPr>
              <w:t>⁻</w:t>
            </w:r>
            <w:r w:rsidRPr="000A70D3">
              <w:rPr>
                <w:rFonts w:cs="Arial"/>
                <w:b/>
                <w:color w:val="000000"/>
                <w:sz w:val="20"/>
                <w:szCs w:val="20"/>
              </w:rPr>
              <w:t>¹ h)</w:t>
            </w:r>
          </w:p>
        </w:tc>
        <w:tc>
          <w:tcPr>
            <w:tcW w:w="782" w:type="pct"/>
          </w:tcPr>
          <w:p w14:paraId="170C38FE"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6483.4</w:t>
            </w:r>
          </w:p>
        </w:tc>
        <w:tc>
          <w:tcPr>
            <w:tcW w:w="782" w:type="pct"/>
          </w:tcPr>
          <w:p w14:paraId="4AF329AF"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6769.1</w:t>
            </w:r>
          </w:p>
        </w:tc>
        <w:tc>
          <w:tcPr>
            <w:tcW w:w="626" w:type="pct"/>
          </w:tcPr>
          <w:p w14:paraId="6D930E5D"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22.9</w:t>
            </w:r>
          </w:p>
        </w:tc>
        <w:tc>
          <w:tcPr>
            <w:tcW w:w="782" w:type="pct"/>
          </w:tcPr>
          <w:p w14:paraId="3D9B064A" w14:textId="77777777" w:rsidR="005067FC" w:rsidRPr="000A70D3" w:rsidRDefault="005067FC">
            <w:pPr>
              <w:spacing w:after="0"/>
              <w:jc w:val="left"/>
              <w:rPr>
                <w:rFonts w:cs="Arial"/>
                <w:bCs/>
                <w:color w:val="000000"/>
                <w:sz w:val="20"/>
              </w:rPr>
            </w:pPr>
            <w:r w:rsidRPr="000A70D3">
              <w:rPr>
                <w:rFonts w:cs="Arial"/>
                <w:bCs/>
                <w:color w:val="000000"/>
                <w:sz w:val="20"/>
              </w:rPr>
              <w:t>6840.6</w:t>
            </w:r>
          </w:p>
        </w:tc>
        <w:tc>
          <w:tcPr>
            <w:tcW w:w="779" w:type="pct"/>
          </w:tcPr>
          <w:p w14:paraId="7F4D0C23" w14:textId="77777777" w:rsidR="005067FC" w:rsidRPr="000A70D3" w:rsidRDefault="005067FC">
            <w:pPr>
              <w:spacing w:after="0"/>
              <w:jc w:val="left"/>
              <w:rPr>
                <w:rFonts w:cs="Arial"/>
                <w:bCs/>
                <w:color w:val="000000"/>
                <w:sz w:val="20"/>
              </w:rPr>
            </w:pPr>
            <w:r w:rsidRPr="000A70D3">
              <w:rPr>
                <w:rFonts w:cs="Arial"/>
                <w:bCs/>
                <w:color w:val="000000"/>
                <w:sz w:val="20"/>
              </w:rPr>
              <w:t>23.3</w:t>
            </w:r>
          </w:p>
        </w:tc>
      </w:tr>
      <w:tr w:rsidR="005067FC" w:rsidRPr="000A70D3" w14:paraId="0E34BFF6" w14:textId="77777777">
        <w:trPr>
          <w:trHeight w:val="20"/>
        </w:trPr>
        <w:tc>
          <w:tcPr>
            <w:tcW w:w="1249" w:type="pct"/>
          </w:tcPr>
          <w:p w14:paraId="6DE0AC64" w14:textId="77777777" w:rsidR="005067FC" w:rsidRPr="000A70D3" w:rsidRDefault="005067FC">
            <w:pPr>
              <w:spacing w:after="0"/>
              <w:jc w:val="left"/>
              <w:rPr>
                <w:rFonts w:cs="Arial"/>
                <w:b/>
                <w:color w:val="000000"/>
                <w:sz w:val="20"/>
                <w:szCs w:val="20"/>
              </w:rPr>
            </w:pPr>
            <w:r w:rsidRPr="000A70D3">
              <w:rPr>
                <w:rFonts w:cs="Arial"/>
                <w:b/>
                <w:color w:val="000000"/>
                <w:sz w:val="20"/>
                <w:szCs w:val="20"/>
              </w:rPr>
              <w:t>Cmax (pg mL</w:t>
            </w:r>
            <w:r w:rsidRPr="000A70D3">
              <w:rPr>
                <w:rFonts w:ascii="Cambria Math" w:hAnsi="Cambria Math" w:cs="Cambria Math"/>
                <w:b/>
                <w:color w:val="000000"/>
                <w:sz w:val="20"/>
                <w:szCs w:val="20"/>
              </w:rPr>
              <w:t>⁻</w:t>
            </w:r>
            <w:r w:rsidRPr="000A70D3">
              <w:rPr>
                <w:rFonts w:cs="Arial"/>
                <w:b/>
                <w:color w:val="000000"/>
                <w:sz w:val="20"/>
                <w:szCs w:val="20"/>
              </w:rPr>
              <w:t>¹)</w:t>
            </w:r>
          </w:p>
        </w:tc>
        <w:tc>
          <w:tcPr>
            <w:tcW w:w="782" w:type="pct"/>
          </w:tcPr>
          <w:p w14:paraId="5F426AAB"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772.0</w:t>
            </w:r>
          </w:p>
        </w:tc>
        <w:tc>
          <w:tcPr>
            <w:tcW w:w="782" w:type="pct"/>
          </w:tcPr>
          <w:p w14:paraId="12030328"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789.3</w:t>
            </w:r>
          </w:p>
        </w:tc>
        <w:tc>
          <w:tcPr>
            <w:tcW w:w="626" w:type="pct"/>
          </w:tcPr>
          <w:p w14:paraId="189CD1A0"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18.4</w:t>
            </w:r>
          </w:p>
        </w:tc>
        <w:tc>
          <w:tcPr>
            <w:tcW w:w="782" w:type="pct"/>
          </w:tcPr>
          <w:p w14:paraId="5322B486" w14:textId="77777777" w:rsidR="005067FC" w:rsidRPr="000A70D3" w:rsidRDefault="005067FC">
            <w:pPr>
              <w:spacing w:after="0"/>
              <w:jc w:val="left"/>
              <w:rPr>
                <w:rFonts w:cs="Arial"/>
                <w:bCs/>
                <w:color w:val="000000"/>
                <w:sz w:val="20"/>
              </w:rPr>
            </w:pPr>
            <w:r w:rsidRPr="000A70D3">
              <w:rPr>
                <w:rFonts w:cs="Arial"/>
                <w:bCs/>
                <w:color w:val="000000"/>
                <w:sz w:val="20"/>
              </w:rPr>
              <w:t>1000.2</w:t>
            </w:r>
          </w:p>
        </w:tc>
        <w:tc>
          <w:tcPr>
            <w:tcW w:w="779" w:type="pct"/>
          </w:tcPr>
          <w:p w14:paraId="75746ADE" w14:textId="77777777" w:rsidR="005067FC" w:rsidRPr="000A70D3" w:rsidRDefault="005067FC">
            <w:pPr>
              <w:spacing w:after="0"/>
              <w:jc w:val="left"/>
              <w:rPr>
                <w:rFonts w:cs="Arial"/>
                <w:bCs/>
                <w:color w:val="000000"/>
                <w:sz w:val="20"/>
              </w:rPr>
            </w:pPr>
            <w:r w:rsidRPr="000A70D3">
              <w:rPr>
                <w:rFonts w:cs="Arial"/>
                <w:bCs/>
                <w:color w:val="000000"/>
                <w:sz w:val="20"/>
              </w:rPr>
              <w:t>18.6</w:t>
            </w:r>
          </w:p>
        </w:tc>
      </w:tr>
      <w:tr w:rsidR="005067FC" w:rsidRPr="000A70D3" w14:paraId="2960AEB9" w14:textId="77777777">
        <w:trPr>
          <w:trHeight w:val="20"/>
        </w:trPr>
        <w:tc>
          <w:tcPr>
            <w:tcW w:w="1249" w:type="pct"/>
          </w:tcPr>
          <w:p w14:paraId="18B4F6D8" w14:textId="77777777" w:rsidR="005067FC" w:rsidRPr="000A70D3" w:rsidRDefault="005067FC">
            <w:pPr>
              <w:spacing w:after="0"/>
              <w:jc w:val="left"/>
              <w:rPr>
                <w:rFonts w:cs="Arial"/>
                <w:b/>
                <w:color w:val="000000"/>
                <w:sz w:val="20"/>
                <w:szCs w:val="20"/>
              </w:rPr>
            </w:pPr>
            <w:r w:rsidRPr="000A70D3">
              <w:rPr>
                <w:rFonts w:cs="Arial"/>
                <w:b/>
                <w:color w:val="000000"/>
                <w:sz w:val="20"/>
                <w:szCs w:val="20"/>
              </w:rPr>
              <w:t>Tmax (h)</w:t>
            </w:r>
          </w:p>
        </w:tc>
        <w:tc>
          <w:tcPr>
            <w:tcW w:w="782" w:type="pct"/>
          </w:tcPr>
          <w:p w14:paraId="716E71F7"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0.66</w:t>
            </w:r>
          </w:p>
        </w:tc>
        <w:tc>
          <w:tcPr>
            <w:tcW w:w="782" w:type="pct"/>
          </w:tcPr>
          <w:p w14:paraId="35170518" w14:textId="77777777" w:rsidR="005067FC" w:rsidRPr="000A70D3" w:rsidRDefault="005067FC">
            <w:pPr>
              <w:spacing w:after="0"/>
              <w:jc w:val="left"/>
              <w:rPr>
                <w:rFonts w:cs="Arial"/>
                <w:bCs/>
                <w:color w:val="000000"/>
                <w:sz w:val="20"/>
                <w:szCs w:val="20"/>
              </w:rPr>
            </w:pPr>
            <w:r w:rsidRPr="000A70D3">
              <w:rPr>
                <w:rFonts w:cs="Arial"/>
                <w:bCs/>
                <w:color w:val="000000"/>
                <w:sz w:val="20"/>
                <w:szCs w:val="20"/>
              </w:rPr>
              <w:t>0.67</w:t>
            </w:r>
          </w:p>
        </w:tc>
        <w:tc>
          <w:tcPr>
            <w:tcW w:w="626" w:type="pct"/>
          </w:tcPr>
          <w:p w14:paraId="4F2B4701" w14:textId="77777777" w:rsidR="005067FC" w:rsidRPr="000A70D3" w:rsidRDefault="005067FC">
            <w:pPr>
              <w:keepNext/>
              <w:spacing w:after="0"/>
              <w:jc w:val="left"/>
              <w:rPr>
                <w:rFonts w:cs="Arial"/>
                <w:bCs/>
                <w:color w:val="000000"/>
                <w:sz w:val="20"/>
                <w:szCs w:val="20"/>
              </w:rPr>
            </w:pPr>
            <w:r w:rsidRPr="000A70D3">
              <w:rPr>
                <w:rFonts w:cs="Arial"/>
                <w:bCs/>
                <w:color w:val="000000"/>
                <w:sz w:val="20"/>
                <w:szCs w:val="20"/>
              </w:rPr>
              <w:t>5.4</w:t>
            </w:r>
          </w:p>
        </w:tc>
        <w:tc>
          <w:tcPr>
            <w:tcW w:w="782" w:type="pct"/>
          </w:tcPr>
          <w:p w14:paraId="4A4FD0AC" w14:textId="77777777" w:rsidR="005067FC" w:rsidRPr="000A70D3" w:rsidRDefault="005067FC">
            <w:pPr>
              <w:keepNext/>
              <w:spacing w:after="0"/>
              <w:jc w:val="left"/>
              <w:rPr>
                <w:rFonts w:cs="Arial"/>
                <w:bCs/>
                <w:color w:val="000000"/>
                <w:sz w:val="20"/>
              </w:rPr>
            </w:pPr>
            <w:r w:rsidRPr="000A70D3">
              <w:rPr>
                <w:rFonts w:cs="Arial"/>
                <w:bCs/>
                <w:color w:val="000000"/>
                <w:sz w:val="20"/>
              </w:rPr>
              <w:t>1.26</w:t>
            </w:r>
          </w:p>
        </w:tc>
        <w:tc>
          <w:tcPr>
            <w:tcW w:w="779" w:type="pct"/>
          </w:tcPr>
          <w:p w14:paraId="7305321E" w14:textId="77777777" w:rsidR="005067FC" w:rsidRPr="000A70D3" w:rsidRDefault="005067FC">
            <w:pPr>
              <w:keepNext/>
              <w:spacing w:after="0"/>
              <w:jc w:val="left"/>
              <w:rPr>
                <w:rFonts w:cs="Arial"/>
                <w:bCs/>
                <w:color w:val="000000"/>
                <w:sz w:val="20"/>
              </w:rPr>
            </w:pPr>
            <w:r w:rsidRPr="000A70D3">
              <w:rPr>
                <w:rFonts w:cs="Arial"/>
                <w:bCs/>
                <w:color w:val="000000"/>
                <w:sz w:val="20"/>
              </w:rPr>
              <w:t>52.8</w:t>
            </w:r>
          </w:p>
        </w:tc>
      </w:tr>
    </w:tbl>
    <w:p w14:paraId="7D1BB290" w14:textId="518DBE7A" w:rsidR="005067FC" w:rsidRPr="000A70D3" w:rsidRDefault="005067FC" w:rsidP="005067FC">
      <w:pPr>
        <w:pStyle w:val="Caption"/>
        <w:rPr>
          <w:rFonts w:cs="Arial"/>
        </w:rPr>
      </w:pPr>
      <w:r w:rsidRPr="000A70D3">
        <w:rPr>
          <w:rFonts w:cs="Arial"/>
        </w:rPr>
        <w:t xml:space="preserve">Table </w:t>
      </w:r>
      <w:r w:rsidRPr="000A70D3">
        <w:rPr>
          <w:rFonts w:cs="Arial"/>
        </w:rPr>
        <w:fldChar w:fldCharType="begin"/>
      </w:r>
      <w:r w:rsidRPr="000A70D3">
        <w:rPr>
          <w:rFonts w:cs="Arial"/>
        </w:rPr>
        <w:instrText xml:space="preserve"> SEQ Table \* ARABIC </w:instrText>
      </w:r>
      <w:r w:rsidRPr="000A70D3">
        <w:rPr>
          <w:rFonts w:cs="Arial"/>
        </w:rPr>
        <w:fldChar w:fldCharType="separate"/>
      </w:r>
      <w:r w:rsidR="00357B39">
        <w:rPr>
          <w:rFonts w:cs="Arial"/>
          <w:noProof/>
        </w:rPr>
        <w:t>1</w:t>
      </w:r>
      <w:r w:rsidRPr="000A70D3">
        <w:rPr>
          <w:rFonts w:cs="Arial"/>
        </w:rPr>
        <w:fldChar w:fldCharType="end"/>
      </w:r>
      <w:r w:rsidR="00372B86" w:rsidRPr="000A70D3">
        <w:rPr>
          <w:rFonts w:cs="Arial"/>
        </w:rPr>
        <w:t xml:space="preserve">: </w:t>
      </w:r>
      <w:r w:rsidRPr="000A70D3">
        <w:rPr>
          <w:rFonts w:cs="Arial"/>
        </w:rPr>
        <w:t xml:space="preserve">Predicted PK </w:t>
      </w:r>
      <w:r w:rsidR="00257A74" w:rsidRPr="000A70D3">
        <w:rPr>
          <w:rFonts w:cs="Arial"/>
        </w:rPr>
        <w:t>Parameters</w:t>
      </w:r>
      <w:r w:rsidRPr="000A70D3">
        <w:rPr>
          <w:rFonts w:cs="Arial"/>
        </w:rPr>
        <w:t xml:space="preserve"> and CV for Test B Simulation with BSV and WSV Replicates</w:t>
      </w:r>
    </w:p>
    <w:p w14:paraId="55FD2233" w14:textId="77777777" w:rsidR="00222716" w:rsidRPr="000A70D3" w:rsidRDefault="00222716" w:rsidP="005067FC">
      <w:pPr>
        <w:rPr>
          <w:rFonts w:cs="Arial"/>
          <w:sz w:val="16"/>
          <w:szCs w:val="16"/>
          <w:u w:val="single"/>
        </w:rPr>
      </w:pPr>
    </w:p>
    <w:p w14:paraId="2A9E49D5" w14:textId="2B0E130A" w:rsidR="005067FC" w:rsidRPr="000A70D3" w:rsidRDefault="005067FC" w:rsidP="005067FC">
      <w:pPr>
        <w:rPr>
          <w:rFonts w:cs="Arial"/>
          <w:sz w:val="20"/>
          <w:u w:val="single"/>
        </w:rPr>
      </w:pPr>
      <w:r w:rsidRPr="000A70D3">
        <w:rPr>
          <w:rFonts w:cs="Arial"/>
          <w:sz w:val="20"/>
          <w:u w:val="single"/>
        </w:rPr>
        <w:t>Application of In-Silico PK Modelling to Low GWP MDI Product Development</w:t>
      </w:r>
    </w:p>
    <w:p w14:paraId="15832C40" w14:textId="37CED962" w:rsidR="005067FC" w:rsidRPr="000A70D3" w:rsidRDefault="005067FC" w:rsidP="005067FC">
      <w:pPr>
        <w:rPr>
          <w:rFonts w:cs="Arial"/>
          <w:sz w:val="20"/>
        </w:rPr>
      </w:pPr>
      <w:r w:rsidRPr="000A70D3">
        <w:rPr>
          <w:rFonts w:cs="Arial"/>
          <w:sz w:val="20"/>
        </w:rPr>
        <w:t xml:space="preserve">Clinically relevant APSD data generated for a variety of low GWP propellant </w:t>
      </w:r>
      <w:r w:rsidR="00C55FA9" w:rsidRPr="000A70D3">
        <w:rPr>
          <w:rFonts w:cs="Arial"/>
          <w:sz w:val="20"/>
        </w:rPr>
        <w:t xml:space="preserve">MDI </w:t>
      </w:r>
      <w:r w:rsidR="001659DD" w:rsidRPr="000A70D3">
        <w:rPr>
          <w:rFonts w:cs="Arial"/>
          <w:sz w:val="20"/>
        </w:rPr>
        <w:t xml:space="preserve">test product configurations </w:t>
      </w:r>
      <w:r w:rsidRPr="000A70D3">
        <w:rPr>
          <w:rFonts w:cs="Arial"/>
          <w:sz w:val="20"/>
        </w:rPr>
        <w:t xml:space="preserve">(LGWP Test A to LGWP Test F) were used in conjunction with the </w:t>
      </w:r>
      <w:r w:rsidR="001659DD" w:rsidRPr="000A70D3">
        <w:rPr>
          <w:rFonts w:cs="Arial"/>
          <w:sz w:val="20"/>
        </w:rPr>
        <w:t xml:space="preserve">inhaled </w:t>
      </w:r>
      <w:r w:rsidR="00981FE9" w:rsidRPr="000A70D3">
        <w:rPr>
          <w:rFonts w:cs="Arial"/>
          <w:sz w:val="20"/>
        </w:rPr>
        <w:t>s</w:t>
      </w:r>
      <w:r w:rsidRPr="000A70D3">
        <w:rPr>
          <w:rFonts w:cs="Arial"/>
          <w:sz w:val="20"/>
        </w:rPr>
        <w:t xml:space="preserve">albutamol PK model, both with and without the inclusion of a charcoal block, to determine which </w:t>
      </w:r>
      <w:r w:rsidR="00BE17ED" w:rsidRPr="000A70D3">
        <w:rPr>
          <w:rFonts w:cs="Arial"/>
          <w:sz w:val="20"/>
        </w:rPr>
        <w:t>test product</w:t>
      </w:r>
      <w:r w:rsidRPr="000A70D3">
        <w:rPr>
          <w:rFonts w:cs="Arial"/>
          <w:sz w:val="20"/>
        </w:rPr>
        <w:t xml:space="preserve"> </w:t>
      </w:r>
      <w:r w:rsidRPr="000A70D3" w:rsidDel="001C3016">
        <w:rPr>
          <w:rFonts w:cs="Arial"/>
          <w:sz w:val="20"/>
        </w:rPr>
        <w:t xml:space="preserve">was </w:t>
      </w:r>
      <w:r w:rsidRPr="000A70D3">
        <w:rPr>
          <w:rFonts w:cs="Arial"/>
          <w:sz w:val="20"/>
        </w:rPr>
        <w:t xml:space="preserve">likely to result in the closest </w:t>
      </w:r>
      <w:r w:rsidR="004D15C2" w:rsidRPr="000A70D3">
        <w:rPr>
          <w:rFonts w:cs="Arial"/>
          <w:sz w:val="20"/>
        </w:rPr>
        <w:t xml:space="preserve">overall average </w:t>
      </w:r>
      <w:r w:rsidRPr="000A70D3">
        <w:rPr>
          <w:rFonts w:cs="Arial"/>
          <w:sz w:val="20"/>
        </w:rPr>
        <w:t xml:space="preserve">PK performance compared to a reference </w:t>
      </w:r>
      <w:r w:rsidR="00981FE9" w:rsidRPr="000A70D3">
        <w:rPr>
          <w:rFonts w:cs="Arial"/>
          <w:sz w:val="20"/>
        </w:rPr>
        <w:t>s</w:t>
      </w:r>
      <w:r w:rsidRPr="000A70D3">
        <w:rPr>
          <w:rFonts w:cs="Arial"/>
          <w:sz w:val="20"/>
        </w:rPr>
        <w:t xml:space="preserve">albutamol MDI.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504"/>
        <w:gridCol w:w="1236"/>
        <w:gridCol w:w="1196"/>
        <w:gridCol w:w="1368"/>
        <w:gridCol w:w="1124"/>
        <w:gridCol w:w="1089"/>
      </w:tblGrid>
      <w:tr w:rsidR="005067FC" w:rsidRPr="000A70D3" w14:paraId="4B0FEAD1" w14:textId="77777777">
        <w:trPr>
          <w:trHeight w:val="300"/>
        </w:trPr>
        <w:tc>
          <w:tcPr>
            <w:tcW w:w="852" w:type="pct"/>
            <w:vMerge w:val="restart"/>
            <w:vAlign w:val="center"/>
          </w:tcPr>
          <w:p w14:paraId="64454BBE" w14:textId="77777777" w:rsidR="005067FC" w:rsidRPr="000A70D3" w:rsidRDefault="005067FC">
            <w:pPr>
              <w:spacing w:after="0"/>
              <w:jc w:val="left"/>
              <w:rPr>
                <w:rFonts w:cs="Arial"/>
                <w:b/>
                <w:color w:val="000000"/>
                <w:sz w:val="20"/>
              </w:rPr>
            </w:pPr>
            <w:r w:rsidRPr="000A70D3">
              <w:rPr>
                <w:rFonts w:cs="Arial"/>
                <w:b/>
                <w:color w:val="000000"/>
                <w:sz w:val="20"/>
              </w:rPr>
              <w:t>Test Product</w:t>
            </w:r>
          </w:p>
        </w:tc>
        <w:tc>
          <w:tcPr>
            <w:tcW w:w="2172" w:type="pct"/>
            <w:gridSpan w:val="3"/>
            <w:shd w:val="clear" w:color="auto" w:fill="auto"/>
            <w:noWrap/>
            <w:vAlign w:val="center"/>
          </w:tcPr>
          <w:p w14:paraId="5177B694" w14:textId="40EAE074" w:rsidR="005067FC" w:rsidRPr="000A70D3" w:rsidRDefault="005067FC">
            <w:pPr>
              <w:spacing w:after="0"/>
              <w:jc w:val="left"/>
              <w:rPr>
                <w:rFonts w:cs="Arial"/>
                <w:b/>
                <w:color w:val="000000"/>
                <w:sz w:val="20"/>
              </w:rPr>
            </w:pPr>
            <w:r w:rsidRPr="000A70D3">
              <w:rPr>
                <w:rFonts w:cs="Arial"/>
                <w:b/>
                <w:color w:val="000000"/>
                <w:sz w:val="20"/>
              </w:rPr>
              <w:t>No Charcoal Block (</w:t>
            </w:r>
            <w:r w:rsidR="00E72014" w:rsidRPr="000A70D3">
              <w:rPr>
                <w:rFonts w:cs="Arial"/>
                <w:b/>
                <w:color w:val="000000"/>
                <w:sz w:val="20"/>
              </w:rPr>
              <w:t>T</w:t>
            </w:r>
            <w:r w:rsidR="00EE0BAF" w:rsidRPr="000A70D3">
              <w:rPr>
                <w:rFonts w:cs="Arial"/>
                <w:b/>
                <w:color w:val="000000"/>
                <w:sz w:val="20"/>
              </w:rPr>
              <w:t>/</w:t>
            </w:r>
            <w:r w:rsidR="00E72014" w:rsidRPr="000A70D3">
              <w:rPr>
                <w:rFonts w:cs="Arial"/>
                <w:b/>
                <w:color w:val="000000"/>
                <w:sz w:val="20"/>
              </w:rPr>
              <w:t>R Ratio</w:t>
            </w:r>
            <w:r w:rsidRPr="000A70D3">
              <w:rPr>
                <w:rFonts w:cs="Arial"/>
                <w:b/>
                <w:color w:val="000000"/>
                <w:sz w:val="20"/>
              </w:rPr>
              <w:t>)</w:t>
            </w:r>
          </w:p>
        </w:tc>
        <w:tc>
          <w:tcPr>
            <w:tcW w:w="1976" w:type="pct"/>
            <w:gridSpan w:val="3"/>
            <w:vAlign w:val="center"/>
          </w:tcPr>
          <w:p w14:paraId="78A41D96" w14:textId="71244494" w:rsidR="005067FC" w:rsidRPr="000A70D3" w:rsidRDefault="005067FC">
            <w:pPr>
              <w:spacing w:after="0"/>
              <w:jc w:val="left"/>
              <w:rPr>
                <w:rFonts w:cs="Arial"/>
                <w:b/>
                <w:color w:val="000000"/>
                <w:sz w:val="20"/>
              </w:rPr>
            </w:pPr>
            <w:r w:rsidRPr="000A70D3">
              <w:rPr>
                <w:rFonts w:cs="Arial"/>
                <w:b/>
                <w:color w:val="000000"/>
                <w:sz w:val="20"/>
              </w:rPr>
              <w:t>Charcoal Block (</w:t>
            </w:r>
            <w:r w:rsidR="00E72014" w:rsidRPr="000A70D3">
              <w:rPr>
                <w:rFonts w:cs="Arial"/>
                <w:b/>
                <w:color w:val="000000"/>
                <w:sz w:val="20"/>
              </w:rPr>
              <w:t>T</w:t>
            </w:r>
            <w:r w:rsidR="00EE0BAF" w:rsidRPr="000A70D3">
              <w:rPr>
                <w:rFonts w:cs="Arial"/>
                <w:b/>
                <w:color w:val="000000"/>
                <w:sz w:val="20"/>
              </w:rPr>
              <w:t>/</w:t>
            </w:r>
            <w:r w:rsidR="00E72014" w:rsidRPr="000A70D3">
              <w:rPr>
                <w:rFonts w:cs="Arial"/>
                <w:b/>
                <w:color w:val="000000"/>
                <w:sz w:val="20"/>
              </w:rPr>
              <w:t>R Ratio</w:t>
            </w:r>
            <w:r w:rsidRPr="000A70D3">
              <w:rPr>
                <w:rFonts w:cs="Arial"/>
                <w:b/>
                <w:color w:val="000000"/>
                <w:sz w:val="20"/>
              </w:rPr>
              <w:t>)</w:t>
            </w:r>
          </w:p>
        </w:tc>
      </w:tr>
      <w:tr w:rsidR="005067FC" w:rsidRPr="000A70D3" w14:paraId="2FB8AF3B" w14:textId="77777777">
        <w:trPr>
          <w:trHeight w:val="300"/>
        </w:trPr>
        <w:tc>
          <w:tcPr>
            <w:tcW w:w="852" w:type="pct"/>
            <w:vMerge/>
            <w:vAlign w:val="center"/>
          </w:tcPr>
          <w:p w14:paraId="3CB04059" w14:textId="77777777" w:rsidR="005067FC" w:rsidRPr="000A70D3" w:rsidRDefault="005067FC">
            <w:pPr>
              <w:spacing w:after="0"/>
              <w:jc w:val="left"/>
              <w:rPr>
                <w:rFonts w:cs="Arial"/>
                <w:b/>
                <w:color w:val="000000"/>
                <w:sz w:val="20"/>
              </w:rPr>
            </w:pPr>
          </w:p>
        </w:tc>
        <w:tc>
          <w:tcPr>
            <w:tcW w:w="830" w:type="pct"/>
            <w:shd w:val="clear" w:color="auto" w:fill="auto"/>
            <w:noWrap/>
            <w:vAlign w:val="center"/>
          </w:tcPr>
          <w:p w14:paraId="50A169CD" w14:textId="77777777" w:rsidR="005067FC" w:rsidRPr="000A70D3" w:rsidRDefault="005067FC">
            <w:pPr>
              <w:spacing w:after="0"/>
              <w:jc w:val="left"/>
              <w:rPr>
                <w:rFonts w:cs="Arial"/>
                <w:b/>
                <w:color w:val="000000"/>
                <w:sz w:val="20"/>
                <w:vertAlign w:val="subscript"/>
              </w:rPr>
            </w:pPr>
            <w:r w:rsidRPr="000A70D3">
              <w:rPr>
                <w:rFonts w:cs="Arial"/>
                <w:b/>
                <w:color w:val="000000"/>
                <w:sz w:val="20"/>
              </w:rPr>
              <w:t>AUC</w:t>
            </w:r>
            <w:r w:rsidRPr="000A70D3">
              <w:rPr>
                <w:rFonts w:cs="Arial"/>
                <w:b/>
                <w:color w:val="000000"/>
                <w:sz w:val="20"/>
                <w:vertAlign w:val="subscript"/>
              </w:rPr>
              <w:t>0-24</w:t>
            </w:r>
          </w:p>
        </w:tc>
        <w:tc>
          <w:tcPr>
            <w:tcW w:w="682" w:type="pct"/>
            <w:shd w:val="clear" w:color="auto" w:fill="auto"/>
            <w:noWrap/>
            <w:vAlign w:val="center"/>
          </w:tcPr>
          <w:p w14:paraId="5B64C4A6" w14:textId="77777777" w:rsidR="005067FC" w:rsidRPr="000A70D3" w:rsidRDefault="005067FC">
            <w:pPr>
              <w:spacing w:after="0"/>
              <w:jc w:val="left"/>
              <w:rPr>
                <w:rFonts w:cs="Arial"/>
                <w:b/>
                <w:color w:val="000000"/>
                <w:sz w:val="20"/>
              </w:rPr>
            </w:pPr>
            <w:r w:rsidRPr="000A70D3">
              <w:rPr>
                <w:rFonts w:cs="Arial"/>
                <w:b/>
                <w:color w:val="000000"/>
                <w:sz w:val="20"/>
              </w:rPr>
              <w:t>Cmax</w:t>
            </w:r>
          </w:p>
        </w:tc>
        <w:tc>
          <w:tcPr>
            <w:tcW w:w="660" w:type="pct"/>
            <w:shd w:val="clear" w:color="auto" w:fill="auto"/>
            <w:noWrap/>
            <w:vAlign w:val="center"/>
          </w:tcPr>
          <w:p w14:paraId="43D8F2B7" w14:textId="77777777" w:rsidR="005067FC" w:rsidRPr="000A70D3" w:rsidRDefault="005067FC">
            <w:pPr>
              <w:spacing w:after="0"/>
              <w:jc w:val="left"/>
              <w:rPr>
                <w:rFonts w:cs="Arial"/>
                <w:b/>
                <w:color w:val="000000"/>
                <w:sz w:val="20"/>
              </w:rPr>
            </w:pPr>
            <w:r w:rsidRPr="000A70D3">
              <w:rPr>
                <w:rFonts w:cs="Arial"/>
                <w:b/>
                <w:color w:val="000000"/>
                <w:sz w:val="20"/>
              </w:rPr>
              <w:t>Tmax</w:t>
            </w:r>
          </w:p>
        </w:tc>
        <w:tc>
          <w:tcPr>
            <w:tcW w:w="755" w:type="pct"/>
            <w:vAlign w:val="center"/>
          </w:tcPr>
          <w:p w14:paraId="74E42B39" w14:textId="77777777" w:rsidR="005067FC" w:rsidRPr="000A70D3" w:rsidRDefault="005067FC">
            <w:pPr>
              <w:spacing w:after="0"/>
              <w:jc w:val="left"/>
              <w:rPr>
                <w:rFonts w:cs="Arial"/>
                <w:b/>
                <w:sz w:val="20"/>
              </w:rPr>
            </w:pPr>
            <w:r w:rsidRPr="000A70D3">
              <w:rPr>
                <w:rFonts w:cs="Arial"/>
                <w:b/>
                <w:color w:val="000000"/>
                <w:sz w:val="20"/>
              </w:rPr>
              <w:t>AUC</w:t>
            </w:r>
            <w:r w:rsidRPr="000A70D3">
              <w:rPr>
                <w:rFonts w:cs="Arial"/>
                <w:b/>
                <w:color w:val="000000"/>
                <w:sz w:val="20"/>
                <w:vertAlign w:val="subscript"/>
              </w:rPr>
              <w:t>0-24</w:t>
            </w:r>
          </w:p>
        </w:tc>
        <w:tc>
          <w:tcPr>
            <w:tcW w:w="620" w:type="pct"/>
            <w:vAlign w:val="center"/>
          </w:tcPr>
          <w:p w14:paraId="705B1441" w14:textId="77777777" w:rsidR="005067FC" w:rsidRPr="000A70D3" w:rsidRDefault="005067FC">
            <w:pPr>
              <w:spacing w:after="0"/>
              <w:jc w:val="left"/>
              <w:rPr>
                <w:rFonts w:cs="Arial"/>
                <w:b/>
                <w:sz w:val="20"/>
              </w:rPr>
            </w:pPr>
            <w:r w:rsidRPr="000A70D3">
              <w:rPr>
                <w:rFonts w:cs="Arial"/>
                <w:b/>
                <w:color w:val="000000"/>
                <w:sz w:val="20"/>
              </w:rPr>
              <w:t>Cmax</w:t>
            </w:r>
          </w:p>
        </w:tc>
        <w:tc>
          <w:tcPr>
            <w:tcW w:w="601" w:type="pct"/>
            <w:vAlign w:val="center"/>
          </w:tcPr>
          <w:p w14:paraId="7124E6D7" w14:textId="77777777" w:rsidR="005067FC" w:rsidRPr="000A70D3" w:rsidRDefault="005067FC">
            <w:pPr>
              <w:spacing w:after="0"/>
              <w:jc w:val="left"/>
              <w:rPr>
                <w:rFonts w:cs="Arial"/>
                <w:b/>
                <w:sz w:val="20"/>
              </w:rPr>
            </w:pPr>
            <w:r w:rsidRPr="000A70D3">
              <w:rPr>
                <w:rFonts w:cs="Arial"/>
                <w:b/>
                <w:color w:val="000000"/>
                <w:sz w:val="20"/>
              </w:rPr>
              <w:t>Tmax</w:t>
            </w:r>
          </w:p>
        </w:tc>
      </w:tr>
      <w:tr w:rsidR="005067FC" w:rsidRPr="000A70D3" w14:paraId="565462CD" w14:textId="77777777">
        <w:trPr>
          <w:trHeight w:val="300"/>
        </w:trPr>
        <w:tc>
          <w:tcPr>
            <w:tcW w:w="852" w:type="pct"/>
            <w:vAlign w:val="bottom"/>
          </w:tcPr>
          <w:p w14:paraId="5B273E47" w14:textId="77777777" w:rsidR="005067FC" w:rsidRPr="000A70D3" w:rsidRDefault="005067FC">
            <w:pPr>
              <w:spacing w:after="0"/>
              <w:jc w:val="left"/>
              <w:rPr>
                <w:rFonts w:cs="Arial"/>
                <w:b/>
                <w:bCs/>
                <w:color w:val="000000"/>
                <w:sz w:val="20"/>
              </w:rPr>
            </w:pPr>
            <w:r w:rsidRPr="000A70D3">
              <w:rPr>
                <w:rFonts w:cs="Arial"/>
                <w:b/>
                <w:bCs/>
                <w:color w:val="000000"/>
                <w:sz w:val="20"/>
              </w:rPr>
              <w:t>LGWP Test A</w:t>
            </w:r>
          </w:p>
        </w:tc>
        <w:tc>
          <w:tcPr>
            <w:tcW w:w="830" w:type="pct"/>
            <w:shd w:val="clear" w:color="auto" w:fill="auto"/>
            <w:noWrap/>
            <w:hideMark/>
          </w:tcPr>
          <w:p w14:paraId="0B8D0D73" w14:textId="77777777" w:rsidR="005067FC" w:rsidRPr="000A70D3" w:rsidRDefault="005067FC">
            <w:pPr>
              <w:spacing w:after="0"/>
              <w:jc w:val="left"/>
              <w:rPr>
                <w:rFonts w:cs="Arial"/>
                <w:color w:val="000000"/>
                <w:sz w:val="20"/>
              </w:rPr>
            </w:pPr>
            <w:r w:rsidRPr="000A70D3">
              <w:rPr>
                <w:rFonts w:cs="Arial"/>
                <w:sz w:val="20"/>
              </w:rPr>
              <w:t>0.95</w:t>
            </w:r>
          </w:p>
        </w:tc>
        <w:tc>
          <w:tcPr>
            <w:tcW w:w="682" w:type="pct"/>
            <w:shd w:val="clear" w:color="auto" w:fill="auto"/>
            <w:noWrap/>
            <w:hideMark/>
          </w:tcPr>
          <w:p w14:paraId="3D49BE95" w14:textId="77777777" w:rsidR="005067FC" w:rsidRPr="000A70D3" w:rsidRDefault="005067FC">
            <w:pPr>
              <w:spacing w:after="0"/>
              <w:jc w:val="left"/>
              <w:rPr>
                <w:rFonts w:cs="Arial"/>
                <w:color w:val="000000"/>
                <w:sz w:val="20"/>
              </w:rPr>
            </w:pPr>
            <w:r w:rsidRPr="000A70D3">
              <w:rPr>
                <w:rFonts w:cs="Arial"/>
                <w:sz w:val="20"/>
              </w:rPr>
              <w:t>1.62</w:t>
            </w:r>
          </w:p>
        </w:tc>
        <w:tc>
          <w:tcPr>
            <w:tcW w:w="660" w:type="pct"/>
            <w:shd w:val="clear" w:color="auto" w:fill="auto"/>
            <w:noWrap/>
            <w:hideMark/>
          </w:tcPr>
          <w:p w14:paraId="512130BF" w14:textId="77777777" w:rsidR="005067FC" w:rsidRPr="000A70D3" w:rsidRDefault="005067FC">
            <w:pPr>
              <w:spacing w:after="0"/>
              <w:jc w:val="left"/>
              <w:rPr>
                <w:rFonts w:cs="Arial"/>
                <w:color w:val="000000"/>
                <w:sz w:val="20"/>
              </w:rPr>
            </w:pPr>
            <w:r w:rsidRPr="000A70D3">
              <w:rPr>
                <w:rFonts w:cs="Arial"/>
                <w:sz w:val="20"/>
              </w:rPr>
              <w:t>0.95</w:t>
            </w:r>
          </w:p>
        </w:tc>
        <w:tc>
          <w:tcPr>
            <w:tcW w:w="755" w:type="pct"/>
          </w:tcPr>
          <w:p w14:paraId="0157E855" w14:textId="77777777" w:rsidR="005067FC" w:rsidRPr="000A70D3" w:rsidRDefault="005067FC">
            <w:pPr>
              <w:spacing w:after="0"/>
              <w:jc w:val="left"/>
              <w:rPr>
                <w:rFonts w:cs="Arial"/>
                <w:sz w:val="20"/>
              </w:rPr>
            </w:pPr>
            <w:r w:rsidRPr="000A70D3">
              <w:rPr>
                <w:rFonts w:cs="Arial"/>
                <w:sz w:val="20"/>
              </w:rPr>
              <w:t>1.59</w:t>
            </w:r>
          </w:p>
        </w:tc>
        <w:tc>
          <w:tcPr>
            <w:tcW w:w="620" w:type="pct"/>
          </w:tcPr>
          <w:p w14:paraId="2478A94C" w14:textId="77777777" w:rsidR="005067FC" w:rsidRPr="000A70D3" w:rsidRDefault="005067FC">
            <w:pPr>
              <w:spacing w:after="0"/>
              <w:jc w:val="left"/>
              <w:rPr>
                <w:rFonts w:cs="Arial"/>
                <w:sz w:val="20"/>
              </w:rPr>
            </w:pPr>
            <w:r w:rsidRPr="000A70D3">
              <w:rPr>
                <w:rFonts w:cs="Arial"/>
                <w:sz w:val="20"/>
              </w:rPr>
              <w:t>1.62</w:t>
            </w:r>
          </w:p>
        </w:tc>
        <w:tc>
          <w:tcPr>
            <w:tcW w:w="601" w:type="pct"/>
          </w:tcPr>
          <w:p w14:paraId="440386BA" w14:textId="77777777" w:rsidR="005067FC" w:rsidRPr="000A70D3" w:rsidRDefault="005067FC">
            <w:pPr>
              <w:spacing w:after="0"/>
              <w:jc w:val="left"/>
              <w:rPr>
                <w:rFonts w:cs="Arial"/>
                <w:sz w:val="20"/>
              </w:rPr>
            </w:pPr>
            <w:r w:rsidRPr="000A70D3">
              <w:rPr>
                <w:rFonts w:cs="Arial"/>
                <w:sz w:val="20"/>
              </w:rPr>
              <w:t>0.94</w:t>
            </w:r>
          </w:p>
        </w:tc>
      </w:tr>
      <w:tr w:rsidR="005067FC" w:rsidRPr="000A70D3" w14:paraId="236E9D57" w14:textId="77777777">
        <w:trPr>
          <w:trHeight w:val="300"/>
        </w:trPr>
        <w:tc>
          <w:tcPr>
            <w:tcW w:w="852" w:type="pct"/>
            <w:vAlign w:val="bottom"/>
          </w:tcPr>
          <w:p w14:paraId="7E5F30BB" w14:textId="77777777" w:rsidR="005067FC" w:rsidRPr="000A70D3" w:rsidRDefault="005067FC">
            <w:pPr>
              <w:spacing w:after="0"/>
              <w:jc w:val="left"/>
              <w:rPr>
                <w:rFonts w:cs="Arial"/>
                <w:b/>
                <w:bCs/>
                <w:color w:val="000000"/>
                <w:sz w:val="20"/>
              </w:rPr>
            </w:pPr>
            <w:r w:rsidRPr="000A70D3">
              <w:rPr>
                <w:rFonts w:cs="Arial"/>
                <w:b/>
                <w:bCs/>
                <w:color w:val="000000"/>
                <w:sz w:val="20"/>
              </w:rPr>
              <w:t>LGWP Test B</w:t>
            </w:r>
          </w:p>
        </w:tc>
        <w:tc>
          <w:tcPr>
            <w:tcW w:w="830" w:type="pct"/>
            <w:shd w:val="clear" w:color="auto" w:fill="auto"/>
            <w:noWrap/>
            <w:hideMark/>
          </w:tcPr>
          <w:p w14:paraId="24DD631B" w14:textId="77777777" w:rsidR="005067FC" w:rsidRPr="000A70D3" w:rsidRDefault="005067FC">
            <w:pPr>
              <w:spacing w:after="0"/>
              <w:jc w:val="left"/>
              <w:rPr>
                <w:rFonts w:cs="Arial"/>
                <w:color w:val="000000"/>
                <w:sz w:val="20"/>
              </w:rPr>
            </w:pPr>
            <w:r w:rsidRPr="000A70D3">
              <w:rPr>
                <w:rFonts w:cs="Arial"/>
                <w:sz w:val="20"/>
              </w:rPr>
              <w:t>1.01</w:t>
            </w:r>
          </w:p>
        </w:tc>
        <w:tc>
          <w:tcPr>
            <w:tcW w:w="682" w:type="pct"/>
            <w:shd w:val="clear" w:color="auto" w:fill="auto"/>
            <w:noWrap/>
            <w:hideMark/>
          </w:tcPr>
          <w:p w14:paraId="5C2FCF4F" w14:textId="77777777" w:rsidR="005067FC" w:rsidRPr="000A70D3" w:rsidRDefault="005067FC">
            <w:pPr>
              <w:spacing w:after="0"/>
              <w:jc w:val="left"/>
              <w:rPr>
                <w:rFonts w:cs="Arial"/>
                <w:color w:val="000000"/>
                <w:sz w:val="20"/>
              </w:rPr>
            </w:pPr>
            <w:r w:rsidRPr="000A70D3">
              <w:rPr>
                <w:rFonts w:cs="Arial"/>
                <w:sz w:val="20"/>
              </w:rPr>
              <w:t>1.46</w:t>
            </w:r>
          </w:p>
        </w:tc>
        <w:tc>
          <w:tcPr>
            <w:tcW w:w="660" w:type="pct"/>
            <w:shd w:val="clear" w:color="auto" w:fill="auto"/>
            <w:noWrap/>
            <w:hideMark/>
          </w:tcPr>
          <w:p w14:paraId="3130F4FF" w14:textId="77777777" w:rsidR="005067FC" w:rsidRPr="000A70D3" w:rsidRDefault="005067FC">
            <w:pPr>
              <w:spacing w:after="0"/>
              <w:jc w:val="left"/>
              <w:rPr>
                <w:rFonts w:cs="Arial"/>
                <w:color w:val="000000"/>
                <w:sz w:val="20"/>
              </w:rPr>
            </w:pPr>
            <w:r w:rsidRPr="000A70D3">
              <w:rPr>
                <w:rFonts w:cs="Arial"/>
                <w:sz w:val="20"/>
              </w:rPr>
              <w:t>0.95</w:t>
            </w:r>
          </w:p>
        </w:tc>
        <w:tc>
          <w:tcPr>
            <w:tcW w:w="755" w:type="pct"/>
          </w:tcPr>
          <w:p w14:paraId="3E33B8AC" w14:textId="77777777" w:rsidR="005067FC" w:rsidRPr="000A70D3" w:rsidRDefault="005067FC">
            <w:pPr>
              <w:spacing w:after="0"/>
              <w:jc w:val="left"/>
              <w:rPr>
                <w:rFonts w:cs="Arial"/>
                <w:sz w:val="20"/>
              </w:rPr>
            </w:pPr>
            <w:r w:rsidRPr="000A70D3">
              <w:rPr>
                <w:rFonts w:cs="Arial"/>
                <w:sz w:val="20"/>
              </w:rPr>
              <w:t>1.44</w:t>
            </w:r>
          </w:p>
        </w:tc>
        <w:tc>
          <w:tcPr>
            <w:tcW w:w="620" w:type="pct"/>
          </w:tcPr>
          <w:p w14:paraId="614076C0" w14:textId="77777777" w:rsidR="005067FC" w:rsidRPr="000A70D3" w:rsidRDefault="005067FC">
            <w:pPr>
              <w:spacing w:after="0"/>
              <w:jc w:val="left"/>
              <w:rPr>
                <w:rFonts w:cs="Arial"/>
                <w:sz w:val="20"/>
              </w:rPr>
            </w:pPr>
            <w:r w:rsidRPr="000A70D3">
              <w:rPr>
                <w:rFonts w:cs="Arial"/>
                <w:sz w:val="20"/>
              </w:rPr>
              <w:t>1.46</w:t>
            </w:r>
          </w:p>
        </w:tc>
        <w:tc>
          <w:tcPr>
            <w:tcW w:w="601" w:type="pct"/>
          </w:tcPr>
          <w:p w14:paraId="01187C8B" w14:textId="77777777" w:rsidR="005067FC" w:rsidRPr="000A70D3" w:rsidRDefault="005067FC">
            <w:pPr>
              <w:spacing w:after="0"/>
              <w:jc w:val="left"/>
              <w:rPr>
                <w:rFonts w:cs="Arial"/>
                <w:sz w:val="20"/>
              </w:rPr>
            </w:pPr>
            <w:r w:rsidRPr="000A70D3">
              <w:rPr>
                <w:rFonts w:cs="Arial"/>
                <w:sz w:val="20"/>
              </w:rPr>
              <w:t>0.95</w:t>
            </w:r>
          </w:p>
        </w:tc>
      </w:tr>
      <w:tr w:rsidR="005067FC" w:rsidRPr="000A70D3" w14:paraId="2A1B3702" w14:textId="77777777">
        <w:trPr>
          <w:trHeight w:val="300"/>
        </w:trPr>
        <w:tc>
          <w:tcPr>
            <w:tcW w:w="852" w:type="pct"/>
            <w:vAlign w:val="bottom"/>
          </w:tcPr>
          <w:p w14:paraId="6596D8F6" w14:textId="77777777" w:rsidR="005067FC" w:rsidRPr="000A70D3" w:rsidRDefault="005067FC">
            <w:pPr>
              <w:spacing w:after="0"/>
              <w:jc w:val="left"/>
              <w:rPr>
                <w:rFonts w:cs="Arial"/>
                <w:b/>
                <w:bCs/>
                <w:color w:val="000000"/>
                <w:sz w:val="20"/>
              </w:rPr>
            </w:pPr>
            <w:r w:rsidRPr="000A70D3">
              <w:rPr>
                <w:rFonts w:cs="Arial"/>
                <w:b/>
                <w:bCs/>
                <w:color w:val="000000"/>
                <w:sz w:val="20"/>
              </w:rPr>
              <w:t>LGWP Test C</w:t>
            </w:r>
          </w:p>
        </w:tc>
        <w:tc>
          <w:tcPr>
            <w:tcW w:w="830" w:type="pct"/>
            <w:shd w:val="clear" w:color="auto" w:fill="auto"/>
            <w:noWrap/>
            <w:hideMark/>
          </w:tcPr>
          <w:p w14:paraId="670E5036" w14:textId="77777777" w:rsidR="005067FC" w:rsidRPr="000A70D3" w:rsidRDefault="005067FC">
            <w:pPr>
              <w:spacing w:after="0"/>
              <w:jc w:val="left"/>
              <w:rPr>
                <w:rFonts w:cs="Arial"/>
                <w:color w:val="000000"/>
                <w:sz w:val="20"/>
              </w:rPr>
            </w:pPr>
            <w:r w:rsidRPr="000A70D3">
              <w:rPr>
                <w:rFonts w:cs="Arial"/>
                <w:sz w:val="20"/>
              </w:rPr>
              <w:t>1.05</w:t>
            </w:r>
          </w:p>
        </w:tc>
        <w:tc>
          <w:tcPr>
            <w:tcW w:w="682" w:type="pct"/>
            <w:shd w:val="clear" w:color="auto" w:fill="auto"/>
            <w:noWrap/>
            <w:hideMark/>
          </w:tcPr>
          <w:p w14:paraId="2B280CEC" w14:textId="77777777" w:rsidR="005067FC" w:rsidRPr="000A70D3" w:rsidRDefault="005067FC">
            <w:pPr>
              <w:spacing w:after="0"/>
              <w:jc w:val="left"/>
              <w:rPr>
                <w:rFonts w:cs="Arial"/>
                <w:color w:val="000000"/>
                <w:sz w:val="20"/>
              </w:rPr>
            </w:pPr>
            <w:r w:rsidRPr="000A70D3">
              <w:rPr>
                <w:rFonts w:cs="Arial"/>
                <w:sz w:val="20"/>
              </w:rPr>
              <w:t>1.16</w:t>
            </w:r>
          </w:p>
        </w:tc>
        <w:tc>
          <w:tcPr>
            <w:tcW w:w="660" w:type="pct"/>
            <w:shd w:val="clear" w:color="auto" w:fill="auto"/>
            <w:noWrap/>
            <w:hideMark/>
          </w:tcPr>
          <w:p w14:paraId="3A848364" w14:textId="77777777" w:rsidR="005067FC" w:rsidRPr="000A70D3" w:rsidRDefault="005067FC">
            <w:pPr>
              <w:spacing w:after="0"/>
              <w:jc w:val="left"/>
              <w:rPr>
                <w:rFonts w:cs="Arial"/>
                <w:color w:val="000000"/>
                <w:sz w:val="20"/>
              </w:rPr>
            </w:pPr>
            <w:r w:rsidRPr="000A70D3">
              <w:rPr>
                <w:rFonts w:cs="Arial"/>
                <w:sz w:val="20"/>
              </w:rPr>
              <w:t>0.96</w:t>
            </w:r>
          </w:p>
        </w:tc>
        <w:tc>
          <w:tcPr>
            <w:tcW w:w="755" w:type="pct"/>
          </w:tcPr>
          <w:p w14:paraId="08B15C03" w14:textId="77777777" w:rsidR="005067FC" w:rsidRPr="000A70D3" w:rsidRDefault="005067FC">
            <w:pPr>
              <w:spacing w:after="0"/>
              <w:jc w:val="left"/>
              <w:rPr>
                <w:rFonts w:cs="Arial"/>
                <w:sz w:val="20"/>
              </w:rPr>
            </w:pPr>
            <w:r w:rsidRPr="000A70D3">
              <w:rPr>
                <w:rFonts w:cs="Arial"/>
                <w:sz w:val="20"/>
              </w:rPr>
              <w:t>1.14</w:t>
            </w:r>
          </w:p>
        </w:tc>
        <w:tc>
          <w:tcPr>
            <w:tcW w:w="620" w:type="pct"/>
          </w:tcPr>
          <w:p w14:paraId="172399E9" w14:textId="77777777" w:rsidR="005067FC" w:rsidRPr="000A70D3" w:rsidRDefault="005067FC">
            <w:pPr>
              <w:spacing w:after="0"/>
              <w:jc w:val="left"/>
              <w:rPr>
                <w:rFonts w:cs="Arial"/>
                <w:sz w:val="20"/>
              </w:rPr>
            </w:pPr>
            <w:r w:rsidRPr="000A70D3">
              <w:rPr>
                <w:rFonts w:cs="Arial"/>
                <w:sz w:val="20"/>
              </w:rPr>
              <w:t>1.16</w:t>
            </w:r>
          </w:p>
        </w:tc>
        <w:tc>
          <w:tcPr>
            <w:tcW w:w="601" w:type="pct"/>
          </w:tcPr>
          <w:p w14:paraId="4BD449AC" w14:textId="77777777" w:rsidR="005067FC" w:rsidRPr="000A70D3" w:rsidRDefault="005067FC">
            <w:pPr>
              <w:spacing w:after="0"/>
              <w:jc w:val="left"/>
              <w:rPr>
                <w:rFonts w:cs="Arial"/>
                <w:sz w:val="20"/>
              </w:rPr>
            </w:pPr>
            <w:r w:rsidRPr="000A70D3">
              <w:rPr>
                <w:rFonts w:cs="Arial"/>
                <w:sz w:val="20"/>
              </w:rPr>
              <w:t>0.96</w:t>
            </w:r>
          </w:p>
        </w:tc>
      </w:tr>
      <w:tr w:rsidR="005067FC" w:rsidRPr="000A70D3" w14:paraId="158060D2" w14:textId="77777777">
        <w:trPr>
          <w:trHeight w:val="300"/>
        </w:trPr>
        <w:tc>
          <w:tcPr>
            <w:tcW w:w="852" w:type="pct"/>
            <w:vAlign w:val="bottom"/>
          </w:tcPr>
          <w:p w14:paraId="711A144D" w14:textId="77777777" w:rsidR="005067FC" w:rsidRPr="000A70D3" w:rsidRDefault="005067FC">
            <w:pPr>
              <w:spacing w:after="0"/>
              <w:jc w:val="left"/>
              <w:rPr>
                <w:rFonts w:cs="Arial"/>
                <w:b/>
                <w:bCs/>
                <w:color w:val="000000"/>
                <w:sz w:val="20"/>
              </w:rPr>
            </w:pPr>
            <w:r w:rsidRPr="000A70D3">
              <w:rPr>
                <w:rFonts w:cs="Arial"/>
                <w:b/>
                <w:bCs/>
                <w:color w:val="000000"/>
                <w:sz w:val="20"/>
              </w:rPr>
              <w:t>LGWP Test D</w:t>
            </w:r>
          </w:p>
        </w:tc>
        <w:tc>
          <w:tcPr>
            <w:tcW w:w="830" w:type="pct"/>
            <w:shd w:val="clear" w:color="auto" w:fill="auto"/>
            <w:noWrap/>
            <w:hideMark/>
          </w:tcPr>
          <w:p w14:paraId="1089C03E" w14:textId="77777777" w:rsidR="005067FC" w:rsidRPr="000A70D3" w:rsidRDefault="005067FC">
            <w:pPr>
              <w:spacing w:after="0"/>
              <w:jc w:val="left"/>
              <w:rPr>
                <w:rFonts w:cs="Arial"/>
                <w:color w:val="000000"/>
                <w:sz w:val="20"/>
              </w:rPr>
            </w:pPr>
            <w:r w:rsidRPr="000A70D3">
              <w:rPr>
                <w:rFonts w:cs="Arial"/>
                <w:sz w:val="20"/>
              </w:rPr>
              <w:t>0.99</w:t>
            </w:r>
          </w:p>
        </w:tc>
        <w:tc>
          <w:tcPr>
            <w:tcW w:w="682" w:type="pct"/>
            <w:shd w:val="clear" w:color="auto" w:fill="auto"/>
            <w:noWrap/>
            <w:hideMark/>
          </w:tcPr>
          <w:p w14:paraId="0FA0BE27" w14:textId="77777777" w:rsidR="005067FC" w:rsidRPr="000A70D3" w:rsidRDefault="005067FC">
            <w:pPr>
              <w:spacing w:after="0"/>
              <w:jc w:val="left"/>
              <w:rPr>
                <w:rFonts w:cs="Arial"/>
                <w:color w:val="000000"/>
                <w:sz w:val="20"/>
              </w:rPr>
            </w:pPr>
            <w:r w:rsidRPr="000A70D3">
              <w:rPr>
                <w:rFonts w:cs="Arial"/>
                <w:sz w:val="20"/>
              </w:rPr>
              <w:t>1.07</w:t>
            </w:r>
          </w:p>
        </w:tc>
        <w:tc>
          <w:tcPr>
            <w:tcW w:w="660" w:type="pct"/>
            <w:shd w:val="clear" w:color="auto" w:fill="auto"/>
            <w:noWrap/>
            <w:hideMark/>
          </w:tcPr>
          <w:p w14:paraId="24AB976A" w14:textId="77777777" w:rsidR="005067FC" w:rsidRPr="000A70D3" w:rsidRDefault="005067FC">
            <w:pPr>
              <w:spacing w:after="0"/>
              <w:jc w:val="left"/>
              <w:rPr>
                <w:rFonts w:cs="Arial"/>
                <w:color w:val="000000"/>
                <w:sz w:val="20"/>
              </w:rPr>
            </w:pPr>
            <w:r w:rsidRPr="000A70D3">
              <w:rPr>
                <w:rFonts w:cs="Arial"/>
                <w:sz w:val="20"/>
              </w:rPr>
              <w:t>0.98</w:t>
            </w:r>
          </w:p>
        </w:tc>
        <w:tc>
          <w:tcPr>
            <w:tcW w:w="755" w:type="pct"/>
          </w:tcPr>
          <w:p w14:paraId="65DC8EA7" w14:textId="77777777" w:rsidR="005067FC" w:rsidRPr="000A70D3" w:rsidRDefault="005067FC">
            <w:pPr>
              <w:spacing w:after="0"/>
              <w:jc w:val="left"/>
              <w:rPr>
                <w:rFonts w:cs="Arial"/>
                <w:sz w:val="20"/>
              </w:rPr>
            </w:pPr>
            <w:r w:rsidRPr="000A70D3">
              <w:rPr>
                <w:rFonts w:cs="Arial"/>
                <w:sz w:val="20"/>
              </w:rPr>
              <w:t>1.07</w:t>
            </w:r>
          </w:p>
        </w:tc>
        <w:tc>
          <w:tcPr>
            <w:tcW w:w="620" w:type="pct"/>
          </w:tcPr>
          <w:p w14:paraId="59599201" w14:textId="77777777" w:rsidR="005067FC" w:rsidRPr="000A70D3" w:rsidRDefault="005067FC">
            <w:pPr>
              <w:spacing w:after="0"/>
              <w:jc w:val="left"/>
              <w:rPr>
                <w:rFonts w:cs="Arial"/>
                <w:sz w:val="20"/>
              </w:rPr>
            </w:pPr>
            <w:r w:rsidRPr="000A70D3">
              <w:rPr>
                <w:rFonts w:cs="Arial"/>
                <w:sz w:val="20"/>
              </w:rPr>
              <w:t>1.07</w:t>
            </w:r>
          </w:p>
        </w:tc>
        <w:tc>
          <w:tcPr>
            <w:tcW w:w="601" w:type="pct"/>
          </w:tcPr>
          <w:p w14:paraId="5C431B6F" w14:textId="77777777" w:rsidR="005067FC" w:rsidRPr="000A70D3" w:rsidRDefault="005067FC">
            <w:pPr>
              <w:spacing w:after="0"/>
              <w:jc w:val="left"/>
              <w:rPr>
                <w:rFonts w:cs="Arial"/>
                <w:sz w:val="20"/>
              </w:rPr>
            </w:pPr>
            <w:r w:rsidRPr="000A70D3">
              <w:rPr>
                <w:rFonts w:cs="Arial"/>
                <w:sz w:val="20"/>
              </w:rPr>
              <w:t>0.98</w:t>
            </w:r>
          </w:p>
        </w:tc>
      </w:tr>
      <w:tr w:rsidR="005067FC" w:rsidRPr="000A70D3" w14:paraId="7C6B6B39" w14:textId="77777777">
        <w:trPr>
          <w:trHeight w:val="300"/>
        </w:trPr>
        <w:tc>
          <w:tcPr>
            <w:tcW w:w="852" w:type="pct"/>
            <w:vAlign w:val="bottom"/>
          </w:tcPr>
          <w:p w14:paraId="790F168D" w14:textId="77777777" w:rsidR="005067FC" w:rsidRPr="000A70D3" w:rsidRDefault="005067FC">
            <w:pPr>
              <w:spacing w:after="0"/>
              <w:jc w:val="left"/>
              <w:rPr>
                <w:rFonts w:cs="Arial"/>
                <w:b/>
                <w:bCs/>
                <w:color w:val="000000"/>
                <w:sz w:val="20"/>
              </w:rPr>
            </w:pPr>
            <w:r w:rsidRPr="000A70D3">
              <w:rPr>
                <w:rFonts w:cs="Arial"/>
                <w:b/>
                <w:bCs/>
                <w:color w:val="000000"/>
                <w:sz w:val="20"/>
              </w:rPr>
              <w:t>LGWP Test E</w:t>
            </w:r>
          </w:p>
        </w:tc>
        <w:tc>
          <w:tcPr>
            <w:tcW w:w="830" w:type="pct"/>
            <w:shd w:val="clear" w:color="auto" w:fill="auto"/>
            <w:noWrap/>
            <w:hideMark/>
          </w:tcPr>
          <w:p w14:paraId="52E11D40" w14:textId="77777777" w:rsidR="005067FC" w:rsidRPr="000A70D3" w:rsidRDefault="005067FC">
            <w:pPr>
              <w:spacing w:after="0"/>
              <w:jc w:val="left"/>
              <w:rPr>
                <w:rFonts w:cs="Arial"/>
                <w:color w:val="000000"/>
                <w:sz w:val="20"/>
              </w:rPr>
            </w:pPr>
            <w:r w:rsidRPr="000A70D3">
              <w:rPr>
                <w:rFonts w:cs="Arial"/>
                <w:sz w:val="20"/>
              </w:rPr>
              <w:t>1.01</w:t>
            </w:r>
          </w:p>
        </w:tc>
        <w:tc>
          <w:tcPr>
            <w:tcW w:w="682" w:type="pct"/>
            <w:shd w:val="clear" w:color="auto" w:fill="auto"/>
            <w:noWrap/>
            <w:hideMark/>
          </w:tcPr>
          <w:p w14:paraId="212C0E2C" w14:textId="77777777" w:rsidR="005067FC" w:rsidRPr="000A70D3" w:rsidRDefault="005067FC">
            <w:pPr>
              <w:spacing w:after="0"/>
              <w:jc w:val="left"/>
              <w:rPr>
                <w:rFonts w:cs="Arial"/>
                <w:color w:val="000000"/>
                <w:sz w:val="20"/>
              </w:rPr>
            </w:pPr>
            <w:r w:rsidRPr="000A70D3">
              <w:rPr>
                <w:rFonts w:cs="Arial"/>
                <w:sz w:val="20"/>
              </w:rPr>
              <w:t>1.23</w:t>
            </w:r>
          </w:p>
        </w:tc>
        <w:tc>
          <w:tcPr>
            <w:tcW w:w="660" w:type="pct"/>
            <w:shd w:val="clear" w:color="auto" w:fill="auto"/>
            <w:noWrap/>
            <w:hideMark/>
          </w:tcPr>
          <w:p w14:paraId="3228735F" w14:textId="77777777" w:rsidR="005067FC" w:rsidRPr="000A70D3" w:rsidRDefault="005067FC">
            <w:pPr>
              <w:spacing w:after="0"/>
              <w:jc w:val="left"/>
              <w:rPr>
                <w:rFonts w:cs="Arial"/>
                <w:color w:val="000000"/>
                <w:sz w:val="20"/>
              </w:rPr>
            </w:pPr>
            <w:r w:rsidRPr="000A70D3">
              <w:rPr>
                <w:rFonts w:cs="Arial"/>
                <w:sz w:val="20"/>
              </w:rPr>
              <w:t>0.96</w:t>
            </w:r>
          </w:p>
        </w:tc>
        <w:tc>
          <w:tcPr>
            <w:tcW w:w="755" w:type="pct"/>
          </w:tcPr>
          <w:p w14:paraId="54DEBEA1" w14:textId="77777777" w:rsidR="005067FC" w:rsidRPr="000A70D3" w:rsidRDefault="005067FC">
            <w:pPr>
              <w:spacing w:after="0"/>
              <w:jc w:val="left"/>
              <w:rPr>
                <w:rFonts w:cs="Arial"/>
                <w:sz w:val="20"/>
              </w:rPr>
            </w:pPr>
            <w:r w:rsidRPr="000A70D3">
              <w:rPr>
                <w:rFonts w:cs="Arial"/>
                <w:sz w:val="20"/>
              </w:rPr>
              <w:t>1.21</w:t>
            </w:r>
          </w:p>
        </w:tc>
        <w:tc>
          <w:tcPr>
            <w:tcW w:w="620" w:type="pct"/>
          </w:tcPr>
          <w:p w14:paraId="00440C65" w14:textId="77777777" w:rsidR="005067FC" w:rsidRPr="000A70D3" w:rsidRDefault="005067FC">
            <w:pPr>
              <w:spacing w:after="0"/>
              <w:jc w:val="left"/>
              <w:rPr>
                <w:rFonts w:cs="Arial"/>
                <w:sz w:val="20"/>
              </w:rPr>
            </w:pPr>
            <w:r w:rsidRPr="000A70D3">
              <w:rPr>
                <w:rFonts w:cs="Arial"/>
                <w:sz w:val="20"/>
              </w:rPr>
              <w:t>1.23</w:t>
            </w:r>
          </w:p>
        </w:tc>
        <w:tc>
          <w:tcPr>
            <w:tcW w:w="601" w:type="pct"/>
          </w:tcPr>
          <w:p w14:paraId="4D9C335E" w14:textId="77777777" w:rsidR="005067FC" w:rsidRPr="000A70D3" w:rsidRDefault="005067FC">
            <w:pPr>
              <w:spacing w:after="0"/>
              <w:jc w:val="left"/>
              <w:rPr>
                <w:rFonts w:cs="Arial"/>
                <w:sz w:val="20"/>
              </w:rPr>
            </w:pPr>
            <w:r w:rsidRPr="000A70D3">
              <w:rPr>
                <w:rFonts w:cs="Arial"/>
                <w:sz w:val="20"/>
              </w:rPr>
              <w:t>0.96</w:t>
            </w:r>
          </w:p>
        </w:tc>
      </w:tr>
      <w:tr w:rsidR="005067FC" w:rsidRPr="000A70D3" w14:paraId="30D894AC" w14:textId="77777777">
        <w:trPr>
          <w:trHeight w:val="300"/>
        </w:trPr>
        <w:tc>
          <w:tcPr>
            <w:tcW w:w="852" w:type="pct"/>
            <w:vAlign w:val="bottom"/>
          </w:tcPr>
          <w:p w14:paraId="3FFD5C46" w14:textId="77777777" w:rsidR="005067FC" w:rsidRPr="000A70D3" w:rsidRDefault="005067FC">
            <w:pPr>
              <w:spacing w:after="0"/>
              <w:jc w:val="left"/>
              <w:rPr>
                <w:rFonts w:cs="Arial"/>
                <w:b/>
                <w:bCs/>
                <w:color w:val="000000"/>
                <w:sz w:val="20"/>
              </w:rPr>
            </w:pPr>
            <w:r w:rsidRPr="000A70D3">
              <w:rPr>
                <w:rFonts w:cs="Arial"/>
                <w:b/>
                <w:bCs/>
                <w:color w:val="000000"/>
                <w:sz w:val="20"/>
              </w:rPr>
              <w:t>LGWP Test F</w:t>
            </w:r>
          </w:p>
        </w:tc>
        <w:tc>
          <w:tcPr>
            <w:tcW w:w="830" w:type="pct"/>
            <w:shd w:val="clear" w:color="auto" w:fill="auto"/>
            <w:noWrap/>
            <w:hideMark/>
          </w:tcPr>
          <w:p w14:paraId="75C9B8ED" w14:textId="77777777" w:rsidR="005067FC" w:rsidRPr="000A70D3" w:rsidRDefault="005067FC">
            <w:pPr>
              <w:spacing w:after="0"/>
              <w:jc w:val="left"/>
              <w:rPr>
                <w:rFonts w:cs="Arial"/>
                <w:color w:val="000000"/>
                <w:sz w:val="20"/>
              </w:rPr>
            </w:pPr>
            <w:r w:rsidRPr="000A70D3">
              <w:rPr>
                <w:rFonts w:cs="Arial"/>
                <w:sz w:val="20"/>
              </w:rPr>
              <w:t>0.92</w:t>
            </w:r>
          </w:p>
        </w:tc>
        <w:tc>
          <w:tcPr>
            <w:tcW w:w="682" w:type="pct"/>
            <w:shd w:val="clear" w:color="auto" w:fill="auto"/>
            <w:noWrap/>
            <w:hideMark/>
          </w:tcPr>
          <w:p w14:paraId="56C85196" w14:textId="77777777" w:rsidR="005067FC" w:rsidRPr="000A70D3" w:rsidRDefault="005067FC">
            <w:pPr>
              <w:spacing w:after="0"/>
              <w:jc w:val="left"/>
              <w:rPr>
                <w:rFonts w:cs="Arial"/>
                <w:color w:val="000000"/>
                <w:sz w:val="20"/>
              </w:rPr>
            </w:pPr>
            <w:r w:rsidRPr="000A70D3">
              <w:rPr>
                <w:rFonts w:cs="Arial"/>
                <w:sz w:val="20"/>
              </w:rPr>
              <w:t>1.09</w:t>
            </w:r>
          </w:p>
        </w:tc>
        <w:tc>
          <w:tcPr>
            <w:tcW w:w="660" w:type="pct"/>
            <w:shd w:val="clear" w:color="auto" w:fill="auto"/>
            <w:noWrap/>
            <w:hideMark/>
          </w:tcPr>
          <w:p w14:paraId="5DEEBA23" w14:textId="77777777" w:rsidR="005067FC" w:rsidRPr="000A70D3" w:rsidRDefault="005067FC">
            <w:pPr>
              <w:keepNext/>
              <w:spacing w:after="0"/>
              <w:jc w:val="left"/>
              <w:rPr>
                <w:rFonts w:cs="Arial"/>
                <w:color w:val="000000"/>
                <w:sz w:val="20"/>
              </w:rPr>
            </w:pPr>
            <w:r w:rsidRPr="000A70D3">
              <w:rPr>
                <w:rFonts w:cs="Arial"/>
                <w:sz w:val="20"/>
              </w:rPr>
              <w:t>0.97</w:t>
            </w:r>
          </w:p>
        </w:tc>
        <w:tc>
          <w:tcPr>
            <w:tcW w:w="755" w:type="pct"/>
          </w:tcPr>
          <w:p w14:paraId="2A67B7F8" w14:textId="77777777" w:rsidR="005067FC" w:rsidRPr="000A70D3" w:rsidRDefault="005067FC">
            <w:pPr>
              <w:keepNext/>
              <w:spacing w:after="0"/>
              <w:jc w:val="left"/>
              <w:rPr>
                <w:rFonts w:cs="Arial"/>
                <w:sz w:val="20"/>
              </w:rPr>
            </w:pPr>
            <w:r w:rsidRPr="000A70D3">
              <w:rPr>
                <w:rFonts w:cs="Arial"/>
                <w:sz w:val="20"/>
              </w:rPr>
              <w:t>1.08</w:t>
            </w:r>
          </w:p>
        </w:tc>
        <w:tc>
          <w:tcPr>
            <w:tcW w:w="620" w:type="pct"/>
          </w:tcPr>
          <w:p w14:paraId="6809641B" w14:textId="77777777" w:rsidR="005067FC" w:rsidRPr="000A70D3" w:rsidRDefault="005067FC">
            <w:pPr>
              <w:keepNext/>
              <w:spacing w:after="0"/>
              <w:jc w:val="left"/>
              <w:rPr>
                <w:rFonts w:cs="Arial"/>
                <w:sz w:val="20"/>
              </w:rPr>
            </w:pPr>
            <w:r w:rsidRPr="000A70D3">
              <w:rPr>
                <w:rFonts w:cs="Arial"/>
                <w:sz w:val="20"/>
              </w:rPr>
              <w:t>1.09</w:t>
            </w:r>
          </w:p>
        </w:tc>
        <w:tc>
          <w:tcPr>
            <w:tcW w:w="601" w:type="pct"/>
          </w:tcPr>
          <w:p w14:paraId="4B5256CB" w14:textId="77777777" w:rsidR="005067FC" w:rsidRPr="000A70D3" w:rsidRDefault="005067FC">
            <w:pPr>
              <w:keepNext/>
              <w:spacing w:after="0"/>
              <w:jc w:val="left"/>
              <w:rPr>
                <w:rFonts w:cs="Arial"/>
                <w:sz w:val="20"/>
              </w:rPr>
            </w:pPr>
            <w:r w:rsidRPr="000A70D3">
              <w:rPr>
                <w:rFonts w:cs="Arial"/>
                <w:sz w:val="20"/>
              </w:rPr>
              <w:t>0.97</w:t>
            </w:r>
          </w:p>
        </w:tc>
      </w:tr>
    </w:tbl>
    <w:p w14:paraId="7FCC45AD" w14:textId="61C4188C" w:rsidR="005067FC" w:rsidRPr="000A70D3" w:rsidRDefault="005067FC" w:rsidP="005067FC">
      <w:pPr>
        <w:pStyle w:val="Caption"/>
        <w:rPr>
          <w:rFonts w:cs="Arial"/>
        </w:rPr>
      </w:pPr>
      <w:r w:rsidRPr="000A70D3">
        <w:rPr>
          <w:rFonts w:cs="Arial"/>
        </w:rPr>
        <w:t xml:space="preserve">Table </w:t>
      </w:r>
      <w:r w:rsidRPr="000A70D3">
        <w:rPr>
          <w:rFonts w:cs="Arial"/>
        </w:rPr>
        <w:fldChar w:fldCharType="begin"/>
      </w:r>
      <w:r w:rsidRPr="000A70D3">
        <w:rPr>
          <w:rFonts w:cs="Arial"/>
        </w:rPr>
        <w:instrText xml:space="preserve"> SEQ Table \* ARABIC </w:instrText>
      </w:r>
      <w:r w:rsidRPr="000A70D3">
        <w:rPr>
          <w:rFonts w:cs="Arial"/>
        </w:rPr>
        <w:fldChar w:fldCharType="separate"/>
      </w:r>
      <w:r w:rsidR="00357B39">
        <w:rPr>
          <w:rFonts w:cs="Arial"/>
          <w:noProof/>
        </w:rPr>
        <w:t>2</w:t>
      </w:r>
      <w:r w:rsidRPr="000A70D3">
        <w:rPr>
          <w:rFonts w:cs="Arial"/>
        </w:rPr>
        <w:fldChar w:fldCharType="end"/>
      </w:r>
      <w:r w:rsidR="00372B86" w:rsidRPr="000A70D3">
        <w:rPr>
          <w:rFonts w:cs="Arial"/>
        </w:rPr>
        <w:t xml:space="preserve">: </w:t>
      </w:r>
      <w:r w:rsidRPr="000A70D3">
        <w:rPr>
          <w:rFonts w:cs="Arial"/>
        </w:rPr>
        <w:t xml:space="preserve">Simulated Average PK </w:t>
      </w:r>
      <w:r w:rsidR="00372B86" w:rsidRPr="000A70D3">
        <w:rPr>
          <w:rFonts w:cs="Arial"/>
        </w:rPr>
        <w:t>Predictions</w:t>
      </w:r>
      <w:r w:rsidR="00091091" w:rsidRPr="000A70D3">
        <w:rPr>
          <w:rFonts w:cs="Arial"/>
        </w:rPr>
        <w:t xml:space="preserve"> for</w:t>
      </w:r>
      <w:r w:rsidRPr="000A70D3">
        <w:rPr>
          <w:rFonts w:cs="Arial"/>
        </w:rPr>
        <w:t xml:space="preserve"> </w:t>
      </w:r>
      <w:r w:rsidR="00091091" w:rsidRPr="000A70D3">
        <w:rPr>
          <w:rFonts w:cs="Arial"/>
        </w:rPr>
        <w:t xml:space="preserve">Different </w:t>
      </w:r>
      <w:r w:rsidRPr="000A70D3">
        <w:rPr>
          <w:rFonts w:cs="Arial"/>
        </w:rPr>
        <w:t xml:space="preserve">Low GWP Test MDI Configurations </w:t>
      </w:r>
      <w:r w:rsidR="00E72014" w:rsidRPr="000A70D3">
        <w:rPr>
          <w:rFonts w:cs="Arial"/>
        </w:rPr>
        <w:t>(Test (T)</w:t>
      </w:r>
      <w:r w:rsidR="00EE0BAF" w:rsidRPr="000A70D3">
        <w:rPr>
          <w:rFonts w:cs="Arial"/>
        </w:rPr>
        <w:t>/</w:t>
      </w:r>
      <w:r w:rsidRPr="000A70D3">
        <w:rPr>
          <w:rFonts w:cs="Arial"/>
        </w:rPr>
        <w:t>Reference</w:t>
      </w:r>
      <w:r w:rsidR="00E72014" w:rsidRPr="000A70D3">
        <w:rPr>
          <w:rFonts w:cs="Arial"/>
        </w:rPr>
        <w:t>(R) Ratios</w:t>
      </w:r>
      <w:r w:rsidRPr="000A70D3">
        <w:rPr>
          <w:rFonts w:cs="Arial"/>
        </w:rPr>
        <w:t>)</w:t>
      </w:r>
    </w:p>
    <w:p w14:paraId="426D650D" w14:textId="77777777" w:rsidR="00222716" w:rsidRPr="000A70D3" w:rsidRDefault="00222716" w:rsidP="005067FC">
      <w:pPr>
        <w:rPr>
          <w:rFonts w:cs="Arial"/>
          <w:sz w:val="16"/>
          <w:szCs w:val="16"/>
        </w:rPr>
      </w:pPr>
    </w:p>
    <w:p w14:paraId="77BDF8BB" w14:textId="275E172A" w:rsidR="00F0237D" w:rsidRPr="00D24213" w:rsidRDefault="005067FC" w:rsidP="00D24213">
      <w:pPr>
        <w:rPr>
          <w:rFonts w:cs="Arial"/>
          <w:color w:val="000000"/>
          <w:sz w:val="20"/>
        </w:rPr>
      </w:pPr>
      <w:r w:rsidRPr="000A70D3">
        <w:rPr>
          <w:rFonts w:cs="Arial"/>
          <w:sz w:val="20"/>
        </w:rPr>
        <w:t xml:space="preserve">The </w:t>
      </w:r>
      <w:r w:rsidR="00037822" w:rsidRPr="000A70D3">
        <w:rPr>
          <w:rFonts w:cs="Arial"/>
          <w:sz w:val="20"/>
        </w:rPr>
        <w:t xml:space="preserve">simulated </w:t>
      </w:r>
      <w:r w:rsidRPr="000A70D3">
        <w:rPr>
          <w:rFonts w:cs="Arial"/>
          <w:sz w:val="20"/>
        </w:rPr>
        <w:t xml:space="preserve">data presented in Table 2 indicate that LGWP Test D is predicted to have the closest </w:t>
      </w:r>
      <w:r w:rsidR="005D7E01" w:rsidRPr="000A70D3">
        <w:rPr>
          <w:rFonts w:cs="Arial"/>
          <w:sz w:val="20"/>
        </w:rPr>
        <w:t xml:space="preserve">overall </w:t>
      </w:r>
      <w:r w:rsidRPr="000A70D3">
        <w:rPr>
          <w:rFonts w:cs="Arial"/>
          <w:sz w:val="20"/>
        </w:rPr>
        <w:t xml:space="preserve">average PK performance compared to the reference. Using the previously outlined error model, BSV was applied to the simulations of </w:t>
      </w:r>
      <w:r w:rsidR="005D7E01" w:rsidRPr="000A70D3">
        <w:rPr>
          <w:rFonts w:cs="Arial"/>
          <w:sz w:val="20"/>
        </w:rPr>
        <w:t xml:space="preserve">LGWP </w:t>
      </w:r>
      <w:r w:rsidRPr="000A70D3">
        <w:rPr>
          <w:rFonts w:cs="Arial"/>
          <w:sz w:val="20"/>
        </w:rPr>
        <w:t xml:space="preserve">Test D and reference. An average BE assessment was applied to assess the expected outcome </w:t>
      </w:r>
      <w:r w:rsidR="00D24213">
        <w:rPr>
          <w:rFonts w:cs="Arial"/>
          <w:sz w:val="20"/>
        </w:rPr>
        <w:t xml:space="preserve">as </w:t>
      </w:r>
      <w:r w:rsidR="003D2608">
        <w:rPr>
          <w:rFonts w:cs="Arial"/>
          <w:sz w:val="20"/>
        </w:rPr>
        <w:t xml:space="preserve">presented in </w:t>
      </w:r>
      <w:r w:rsidRPr="000A70D3">
        <w:rPr>
          <w:rFonts w:cs="Arial"/>
          <w:sz w:val="20"/>
        </w:rPr>
        <w:t>Figure 3a. For BSV only</w:t>
      </w:r>
      <w:r w:rsidR="00D24213">
        <w:rPr>
          <w:rFonts w:cs="Arial"/>
          <w:sz w:val="20"/>
        </w:rPr>
        <w:t xml:space="preserve"> the without charcoal block</w:t>
      </w:r>
      <w:r w:rsidRPr="000A70D3">
        <w:rPr>
          <w:rFonts w:cs="Arial"/>
          <w:sz w:val="20"/>
        </w:rPr>
        <w:t xml:space="preserve"> Tmax is predicted to be outside the acceptance range. When WSV is applied</w:t>
      </w:r>
      <w:r w:rsidR="00D24213">
        <w:rPr>
          <w:rFonts w:cs="Arial"/>
          <w:sz w:val="20"/>
        </w:rPr>
        <w:t xml:space="preserve">, </w:t>
      </w:r>
      <w:r w:rsidRPr="000A70D3">
        <w:rPr>
          <w:rFonts w:cs="Arial"/>
          <w:sz w:val="20"/>
        </w:rPr>
        <w:t>Figure 3b</w:t>
      </w:r>
      <w:r w:rsidR="00D24213">
        <w:rPr>
          <w:rFonts w:cs="Arial"/>
          <w:sz w:val="20"/>
        </w:rPr>
        <w:t xml:space="preserve">, </w:t>
      </w:r>
      <w:r w:rsidRPr="000A70D3">
        <w:rPr>
          <w:rFonts w:cs="Arial"/>
          <w:color w:val="000000"/>
          <w:sz w:val="20"/>
        </w:rPr>
        <w:t>Tmax</w:t>
      </w:r>
      <w:r w:rsidR="00D24213">
        <w:rPr>
          <w:rFonts w:cs="Arial"/>
          <w:color w:val="000000"/>
          <w:sz w:val="20"/>
        </w:rPr>
        <w:t xml:space="preserve"> is</w:t>
      </w:r>
      <w:r w:rsidRPr="000A70D3">
        <w:rPr>
          <w:rFonts w:cs="Arial"/>
          <w:color w:val="000000"/>
          <w:sz w:val="20"/>
        </w:rPr>
        <w:t xml:space="preserve"> predicted to be outside the acceptance range</w:t>
      </w:r>
      <w:r w:rsidR="00D24213">
        <w:rPr>
          <w:rFonts w:cs="Arial"/>
          <w:color w:val="000000"/>
          <w:sz w:val="20"/>
        </w:rPr>
        <w:t xml:space="preserve">, both </w:t>
      </w:r>
      <w:r w:rsidR="00D24213">
        <w:rPr>
          <w:rFonts w:cs="Arial"/>
          <w:sz w:val="20"/>
        </w:rPr>
        <w:t>with and without charcoal block</w:t>
      </w:r>
      <w:r w:rsidRPr="000A70D3">
        <w:rPr>
          <w:rFonts w:cs="Arial"/>
          <w:color w:val="000000"/>
          <w:sz w:val="20"/>
        </w:rPr>
        <w:t>.</w:t>
      </w:r>
    </w:p>
    <w:p w14:paraId="297ACFBD" w14:textId="77777777" w:rsidR="00F0237D" w:rsidRPr="000A70D3" w:rsidRDefault="00F0237D" w:rsidP="005067FC">
      <w:pPr>
        <w:spacing w:after="0"/>
        <w:rPr>
          <w:rFonts w:cs="Arial"/>
          <w:noProof/>
          <w:sz w:val="20"/>
        </w:rPr>
      </w:pPr>
    </w:p>
    <w:p w14:paraId="5DCE6BD6" w14:textId="421DA77A" w:rsidR="005067FC" w:rsidRPr="000A70D3" w:rsidRDefault="004E231C" w:rsidP="005067FC">
      <w:pPr>
        <w:spacing w:after="0"/>
        <w:rPr>
          <w:rFonts w:cs="Arial"/>
          <w:sz w:val="20"/>
        </w:rPr>
      </w:pPr>
      <w:r w:rsidRPr="004E231C">
        <w:rPr>
          <w:rFonts w:cs="Arial"/>
          <w:noProof/>
          <w:sz w:val="20"/>
        </w:rPr>
        <w:lastRenderedPageBreak/>
        <w:drawing>
          <wp:inline distT="0" distB="0" distL="0" distR="0" wp14:anchorId="27E9FCCE" wp14:editId="07C115D9">
            <wp:extent cx="2834207" cy="1889471"/>
            <wp:effectExtent l="0" t="0" r="4445" b="0"/>
            <wp:docPr id="796177826"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77826" name="Picture 1" descr="A graph of different colored squares&#10;&#10;Description automatically generated"/>
                    <pic:cNvPicPr/>
                  </pic:nvPicPr>
                  <pic:blipFill>
                    <a:blip r:embed="rId14"/>
                    <a:stretch>
                      <a:fillRect/>
                    </a:stretch>
                  </pic:blipFill>
                  <pic:spPr>
                    <a:xfrm>
                      <a:off x="0" y="0"/>
                      <a:ext cx="2876189" cy="1917459"/>
                    </a:xfrm>
                    <a:prstGeom prst="rect">
                      <a:avLst/>
                    </a:prstGeom>
                  </pic:spPr>
                </pic:pic>
              </a:graphicData>
            </a:graphic>
          </wp:inline>
        </w:drawing>
      </w:r>
      <w:r w:rsidR="005067FC" w:rsidRPr="000A70D3">
        <w:rPr>
          <w:rFonts w:cs="Arial"/>
          <w:sz w:val="20"/>
        </w:rPr>
        <w:t xml:space="preserve"> </w:t>
      </w:r>
      <w:r w:rsidR="00B72053" w:rsidRPr="000A70D3">
        <w:rPr>
          <w:rFonts w:cs="Arial"/>
          <w:noProof/>
          <w:sz w:val="20"/>
        </w:rPr>
        <w:drawing>
          <wp:inline distT="0" distB="0" distL="0" distR="0" wp14:anchorId="24097951" wp14:editId="5D46EC6C">
            <wp:extent cx="2834207" cy="1889471"/>
            <wp:effectExtent l="0" t="0" r="4445" b="0"/>
            <wp:docPr id="1084562064" name="Picture 1084562064" descr="A graph of different colored bloc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62064" name="Picture 1" descr="A graph of different colored blocks&#10;&#10;Description automatically generated with medium confidence"/>
                    <pic:cNvPicPr/>
                  </pic:nvPicPr>
                  <pic:blipFill>
                    <a:blip r:embed="rId15"/>
                    <a:stretch>
                      <a:fillRect/>
                    </a:stretch>
                  </pic:blipFill>
                  <pic:spPr>
                    <a:xfrm>
                      <a:off x="0" y="0"/>
                      <a:ext cx="2865227" cy="1910151"/>
                    </a:xfrm>
                    <a:prstGeom prst="rect">
                      <a:avLst/>
                    </a:prstGeom>
                  </pic:spPr>
                </pic:pic>
              </a:graphicData>
            </a:graphic>
          </wp:inline>
        </w:drawing>
      </w:r>
    </w:p>
    <w:p w14:paraId="66D59F47" w14:textId="32D34A62" w:rsidR="00222716" w:rsidRPr="000A70D3" w:rsidRDefault="005067FC" w:rsidP="00C9183C">
      <w:pPr>
        <w:keepNext/>
        <w:rPr>
          <w:rFonts w:cs="Arial"/>
          <w:b/>
          <w:sz w:val="20"/>
        </w:rPr>
      </w:pPr>
      <w:r w:rsidRPr="000A70D3">
        <w:rPr>
          <w:rFonts w:cs="Arial"/>
          <w:b/>
          <w:sz w:val="20"/>
        </w:rPr>
        <w:t xml:space="preserve">Figure </w:t>
      </w:r>
      <w:r w:rsidRPr="000A70D3">
        <w:rPr>
          <w:rFonts w:cs="Arial"/>
          <w:b/>
          <w:sz w:val="20"/>
        </w:rPr>
        <w:fldChar w:fldCharType="begin"/>
      </w:r>
      <w:r w:rsidRPr="000A70D3">
        <w:rPr>
          <w:rFonts w:cs="Arial"/>
          <w:b/>
          <w:sz w:val="20"/>
        </w:rPr>
        <w:instrText xml:space="preserve"> SEQ Figure \* ARABIC </w:instrText>
      </w:r>
      <w:r w:rsidRPr="000A70D3">
        <w:rPr>
          <w:rFonts w:cs="Arial"/>
          <w:b/>
          <w:sz w:val="20"/>
        </w:rPr>
        <w:fldChar w:fldCharType="separate"/>
      </w:r>
      <w:r w:rsidR="00357B39">
        <w:rPr>
          <w:rFonts w:cs="Arial"/>
          <w:b/>
          <w:noProof/>
          <w:sz w:val="20"/>
        </w:rPr>
        <w:t>3</w:t>
      </w:r>
      <w:r w:rsidRPr="000A70D3">
        <w:rPr>
          <w:rFonts w:cs="Arial"/>
          <w:b/>
          <w:sz w:val="20"/>
        </w:rPr>
        <w:fldChar w:fldCharType="end"/>
      </w:r>
      <w:r w:rsidR="00372B86" w:rsidRPr="000A70D3">
        <w:rPr>
          <w:rFonts w:cs="Arial"/>
          <w:b/>
          <w:sz w:val="20"/>
        </w:rPr>
        <w:t xml:space="preserve">: </w:t>
      </w:r>
      <w:r w:rsidRPr="000A70D3">
        <w:rPr>
          <w:rFonts w:cs="Arial"/>
          <w:b/>
          <w:sz w:val="20"/>
        </w:rPr>
        <w:t xml:space="preserve">Simulated </w:t>
      </w:r>
      <w:r w:rsidRPr="000A70D3">
        <w:rPr>
          <w:rFonts w:cs="Arial"/>
          <w:b/>
          <w:bCs/>
          <w:sz w:val="20"/>
        </w:rPr>
        <w:t xml:space="preserve">PK BE </w:t>
      </w:r>
      <w:r w:rsidR="00091091" w:rsidRPr="000A70D3">
        <w:rPr>
          <w:rFonts w:cs="Arial"/>
          <w:b/>
          <w:bCs/>
          <w:sz w:val="20"/>
        </w:rPr>
        <w:t>Prediction</w:t>
      </w:r>
      <w:r w:rsidR="00D0705C" w:rsidRPr="000A70D3">
        <w:rPr>
          <w:rFonts w:cs="Arial"/>
          <w:b/>
          <w:bCs/>
          <w:sz w:val="20"/>
        </w:rPr>
        <w:t xml:space="preserve">s </w:t>
      </w:r>
      <w:r w:rsidR="00091091" w:rsidRPr="000A70D3">
        <w:rPr>
          <w:rFonts w:cs="Arial"/>
          <w:b/>
          <w:bCs/>
          <w:sz w:val="20"/>
        </w:rPr>
        <w:t>Showing A</w:t>
      </w:r>
      <w:r w:rsidR="002556B1" w:rsidRPr="000A70D3">
        <w:rPr>
          <w:rFonts w:cs="Arial"/>
          <w:b/>
          <w:bCs/>
          <w:sz w:val="20"/>
        </w:rPr>
        <w:t>verage T</w:t>
      </w:r>
      <w:r w:rsidR="001B1358" w:rsidRPr="000A70D3">
        <w:rPr>
          <w:rFonts w:cs="Arial"/>
          <w:b/>
          <w:bCs/>
          <w:sz w:val="20"/>
        </w:rPr>
        <w:t>est</w:t>
      </w:r>
      <w:r w:rsidR="00EE0BAF" w:rsidRPr="000A70D3">
        <w:rPr>
          <w:rFonts w:cs="Arial"/>
          <w:b/>
          <w:bCs/>
          <w:sz w:val="20"/>
        </w:rPr>
        <w:t>/</w:t>
      </w:r>
      <w:r w:rsidR="002556B1" w:rsidRPr="000A70D3">
        <w:rPr>
          <w:rFonts w:cs="Arial"/>
          <w:b/>
          <w:bCs/>
          <w:sz w:val="20"/>
        </w:rPr>
        <w:t>R</w:t>
      </w:r>
      <w:r w:rsidR="001B1358" w:rsidRPr="000A70D3">
        <w:rPr>
          <w:rFonts w:cs="Arial"/>
          <w:b/>
          <w:bCs/>
          <w:sz w:val="20"/>
        </w:rPr>
        <w:t>eference</w:t>
      </w:r>
      <w:r w:rsidR="002556B1" w:rsidRPr="000A70D3">
        <w:rPr>
          <w:rFonts w:cs="Arial"/>
          <w:b/>
          <w:bCs/>
          <w:sz w:val="20"/>
        </w:rPr>
        <w:t xml:space="preserve"> </w:t>
      </w:r>
      <w:r w:rsidR="00091091" w:rsidRPr="000A70D3">
        <w:rPr>
          <w:rFonts w:cs="Arial"/>
          <w:b/>
          <w:bCs/>
          <w:sz w:val="20"/>
        </w:rPr>
        <w:t>R</w:t>
      </w:r>
      <w:r w:rsidR="002556B1" w:rsidRPr="000A70D3">
        <w:rPr>
          <w:rFonts w:cs="Arial"/>
          <w:b/>
          <w:bCs/>
          <w:sz w:val="20"/>
        </w:rPr>
        <w:t xml:space="preserve">atio </w:t>
      </w:r>
      <w:r w:rsidR="004620D5" w:rsidRPr="000A70D3">
        <w:rPr>
          <w:rFonts w:cs="Arial"/>
          <w:b/>
          <w:bCs/>
          <w:sz w:val="20"/>
        </w:rPr>
        <w:t>(</w:t>
      </w:r>
      <w:r w:rsidR="002556B1" w:rsidRPr="000A70D3">
        <w:rPr>
          <w:rFonts w:cs="Arial"/>
          <w:b/>
          <w:bCs/>
          <w:sz w:val="20"/>
        </w:rPr>
        <w:t xml:space="preserve">with 90% confidence intervals) </w:t>
      </w:r>
      <w:r w:rsidRPr="000A70D3">
        <w:rPr>
          <w:rFonts w:cs="Arial"/>
          <w:b/>
          <w:bCs/>
          <w:sz w:val="20"/>
        </w:rPr>
        <w:t>for LGWP Test D</w:t>
      </w:r>
      <w:r w:rsidRPr="000A70D3">
        <w:rPr>
          <w:rFonts w:cs="Arial"/>
          <w:b/>
          <w:sz w:val="20"/>
        </w:rPr>
        <w:t xml:space="preserve"> with (a) BSV and (b) BSV and WSV </w:t>
      </w:r>
      <w:r w:rsidR="00D0705C" w:rsidRPr="000A70D3">
        <w:rPr>
          <w:rFonts w:cs="Arial"/>
          <w:b/>
          <w:sz w:val="20"/>
        </w:rPr>
        <w:t>A</w:t>
      </w:r>
      <w:r w:rsidRPr="000A70D3">
        <w:rPr>
          <w:rFonts w:cs="Arial"/>
          <w:b/>
          <w:sz w:val="20"/>
        </w:rPr>
        <w:t>pplied</w:t>
      </w:r>
      <w:r w:rsidR="00D0705C" w:rsidRPr="000A70D3">
        <w:rPr>
          <w:rFonts w:cs="Arial"/>
          <w:b/>
          <w:sz w:val="20"/>
        </w:rPr>
        <w:t xml:space="preserve">, both </w:t>
      </w:r>
      <w:r w:rsidR="00D0705C" w:rsidRPr="000A70D3">
        <w:rPr>
          <w:rFonts w:cs="Arial"/>
          <w:b/>
          <w:bCs/>
          <w:sz w:val="20"/>
        </w:rPr>
        <w:t>With and Without a Charcoal Block</w:t>
      </w:r>
    </w:p>
    <w:p w14:paraId="05BDEF6F" w14:textId="678051EF" w:rsidR="005067FC" w:rsidRPr="000A70D3" w:rsidRDefault="005067FC" w:rsidP="005067FC">
      <w:pPr>
        <w:pStyle w:val="DDLHeading1"/>
        <w:rPr>
          <w:rFonts w:cs="Arial"/>
          <w:sz w:val="20"/>
          <w:szCs w:val="20"/>
        </w:rPr>
      </w:pPr>
      <w:r w:rsidRPr="000A70D3">
        <w:rPr>
          <w:rFonts w:cs="Arial"/>
          <w:sz w:val="20"/>
          <w:szCs w:val="20"/>
        </w:rPr>
        <w:t>Discussion</w:t>
      </w:r>
    </w:p>
    <w:p w14:paraId="62973550" w14:textId="7812123B" w:rsidR="005067FC" w:rsidRPr="000A70D3" w:rsidRDefault="005067FC" w:rsidP="005067FC">
      <w:pPr>
        <w:rPr>
          <w:rFonts w:cs="Arial"/>
          <w:sz w:val="20"/>
        </w:rPr>
      </w:pPr>
      <w:r w:rsidRPr="000A70D3">
        <w:rPr>
          <w:rFonts w:cs="Arial"/>
          <w:sz w:val="20"/>
        </w:rPr>
        <w:t xml:space="preserve">The </w:t>
      </w:r>
      <w:r w:rsidR="00187C61" w:rsidRPr="000A70D3">
        <w:rPr>
          <w:rFonts w:cs="Arial"/>
          <w:sz w:val="20"/>
        </w:rPr>
        <w:t xml:space="preserve">inhalation </w:t>
      </w:r>
      <w:r w:rsidR="00981FE9" w:rsidRPr="000A70D3">
        <w:rPr>
          <w:rFonts w:cs="Arial"/>
          <w:sz w:val="20"/>
        </w:rPr>
        <w:t>s</w:t>
      </w:r>
      <w:r w:rsidRPr="000A70D3">
        <w:rPr>
          <w:rFonts w:cs="Arial"/>
          <w:sz w:val="20"/>
        </w:rPr>
        <w:t>albutamol PK model developed</w:t>
      </w:r>
      <w:r w:rsidR="00600A0F" w:rsidRPr="000A70D3">
        <w:rPr>
          <w:rFonts w:cs="Arial"/>
          <w:sz w:val="20"/>
        </w:rPr>
        <w:t xml:space="preserve"> </w:t>
      </w:r>
      <w:r w:rsidRPr="000A70D3">
        <w:rPr>
          <w:rFonts w:cs="Arial"/>
          <w:sz w:val="20"/>
        </w:rPr>
        <w:t>can reasonably predict clinical data. In addition, the simulation of BSV can produce replicates with an average comparable to the original simulation. In this case, the CV is within expectation for AUC</w:t>
      </w:r>
      <w:r w:rsidRPr="000A70D3">
        <w:rPr>
          <w:rFonts w:cs="Arial"/>
          <w:sz w:val="20"/>
          <w:vertAlign w:val="subscript"/>
        </w:rPr>
        <w:t>t</w:t>
      </w:r>
      <w:r w:rsidRPr="000A70D3">
        <w:rPr>
          <w:rFonts w:cs="Arial"/>
          <w:sz w:val="20"/>
        </w:rPr>
        <w:t xml:space="preserve"> and </w:t>
      </w:r>
      <w:r w:rsidRPr="000A70D3">
        <w:rPr>
          <w:rFonts w:cs="Arial"/>
          <w:color w:val="000000"/>
          <w:sz w:val="20"/>
        </w:rPr>
        <w:t xml:space="preserve">Cmax, </w:t>
      </w:r>
      <w:r w:rsidRPr="000A70D3">
        <w:rPr>
          <w:rFonts w:cs="Arial"/>
          <w:sz w:val="20"/>
        </w:rPr>
        <w:t>however the CV of Tmax is lower than expected, which is most likely attributable to Tmax being primarily influenced by absorption and permeation rates in the lung which were not varied in this simulation.</w:t>
      </w:r>
    </w:p>
    <w:p w14:paraId="5DE51C8C" w14:textId="1DC581E0" w:rsidR="005067FC" w:rsidRPr="000A70D3" w:rsidRDefault="005067FC" w:rsidP="005067FC">
      <w:pPr>
        <w:rPr>
          <w:rFonts w:cs="Arial"/>
          <w:sz w:val="20"/>
        </w:rPr>
      </w:pPr>
      <w:r w:rsidRPr="000A70D3">
        <w:rPr>
          <w:rFonts w:cs="Arial"/>
          <w:sz w:val="20"/>
        </w:rPr>
        <w:t>The PK simulations</w:t>
      </w:r>
      <w:r w:rsidR="008748C0" w:rsidRPr="008748C0">
        <w:rPr>
          <w:rFonts w:cs="Arial"/>
          <w:sz w:val="20"/>
        </w:rPr>
        <w:t xml:space="preserve"> </w:t>
      </w:r>
      <w:r w:rsidR="008748C0" w:rsidRPr="000A70D3">
        <w:rPr>
          <w:rFonts w:cs="Arial"/>
          <w:sz w:val="20"/>
        </w:rPr>
        <w:t>for LGWP Test D</w:t>
      </w:r>
      <w:r w:rsidRPr="000A70D3">
        <w:rPr>
          <w:rFonts w:cs="Arial"/>
          <w:sz w:val="20"/>
        </w:rPr>
        <w:t>, with the application of both BSV alone and with BSV and WSV combined, indicate that BE would be expected to be achieved for AUC</w:t>
      </w:r>
      <w:r w:rsidRPr="000A70D3">
        <w:rPr>
          <w:rFonts w:cs="Arial"/>
          <w:sz w:val="20"/>
          <w:vertAlign w:val="subscript"/>
        </w:rPr>
        <w:t>t</w:t>
      </w:r>
      <w:r w:rsidRPr="000A70D3">
        <w:rPr>
          <w:rFonts w:cs="Arial"/>
          <w:sz w:val="20"/>
        </w:rPr>
        <w:t xml:space="preserve"> and Cmax compared to the reference </w:t>
      </w:r>
      <w:r w:rsidR="007C51D7" w:rsidRPr="000A70D3">
        <w:rPr>
          <w:rFonts w:cs="Arial"/>
          <w:sz w:val="20"/>
        </w:rPr>
        <w:t>s</w:t>
      </w:r>
      <w:r w:rsidR="0002078E" w:rsidRPr="000A70D3">
        <w:rPr>
          <w:rFonts w:cs="Arial"/>
          <w:sz w:val="20"/>
        </w:rPr>
        <w:t xml:space="preserve">albutamol </w:t>
      </w:r>
      <w:r w:rsidRPr="000A70D3">
        <w:rPr>
          <w:rFonts w:cs="Arial"/>
          <w:sz w:val="20"/>
        </w:rPr>
        <w:t xml:space="preserve">MDI. For </w:t>
      </w:r>
      <w:r w:rsidR="00201D98" w:rsidRPr="000A70D3">
        <w:rPr>
          <w:rFonts w:cs="Arial"/>
          <w:sz w:val="20"/>
        </w:rPr>
        <w:t>both</w:t>
      </w:r>
      <w:r w:rsidRPr="000A70D3" w:rsidDel="00201D98">
        <w:rPr>
          <w:rFonts w:cs="Arial"/>
          <w:sz w:val="20"/>
        </w:rPr>
        <w:t xml:space="preserve"> </w:t>
      </w:r>
      <w:r w:rsidRPr="000A70D3">
        <w:rPr>
          <w:rFonts w:cs="Arial"/>
          <w:sz w:val="20"/>
        </w:rPr>
        <w:t>simulation</w:t>
      </w:r>
      <w:r w:rsidR="00201D98" w:rsidRPr="000A70D3">
        <w:rPr>
          <w:rFonts w:cs="Arial"/>
          <w:sz w:val="20"/>
        </w:rPr>
        <w:t xml:space="preserve">s without charcoal block the </w:t>
      </w:r>
      <w:r w:rsidRPr="000A70D3">
        <w:rPr>
          <w:rFonts w:cs="Arial"/>
          <w:sz w:val="20"/>
        </w:rPr>
        <w:t>Tmax</w:t>
      </w:r>
      <w:r w:rsidR="00201D98" w:rsidRPr="000A70D3">
        <w:rPr>
          <w:rFonts w:cs="Arial"/>
          <w:sz w:val="20"/>
        </w:rPr>
        <w:t xml:space="preserve"> ratio</w:t>
      </w:r>
      <w:r w:rsidRPr="000A70D3">
        <w:rPr>
          <w:rFonts w:cs="Arial"/>
          <w:sz w:val="20"/>
        </w:rPr>
        <w:t xml:space="preserve"> is predicted to be outside the BE criteria, with Tmax for LGWP Test D predicted to be lower than the reference product. This is attributed to the reference </w:t>
      </w:r>
      <w:r w:rsidR="00FD3124" w:rsidRPr="000A70D3">
        <w:rPr>
          <w:rFonts w:cs="Arial"/>
          <w:sz w:val="20"/>
        </w:rPr>
        <w:t xml:space="preserve">MDI </w:t>
      </w:r>
      <w:r w:rsidRPr="000A70D3">
        <w:rPr>
          <w:rFonts w:cs="Arial"/>
          <w:sz w:val="20"/>
        </w:rPr>
        <w:t>product having higher in-vitro throat deposition, leading to greater GI absorption and hence a delayed Tmax</w:t>
      </w:r>
      <w:r w:rsidRPr="000A70D3" w:rsidDel="002941FC">
        <w:rPr>
          <w:rFonts w:cs="Arial"/>
          <w:sz w:val="20"/>
        </w:rPr>
        <w:t xml:space="preserve"> </w:t>
      </w:r>
      <w:r w:rsidRPr="000A70D3">
        <w:rPr>
          <w:rFonts w:cs="Arial"/>
          <w:sz w:val="20"/>
        </w:rPr>
        <w:t xml:space="preserve">for some replicates. When the </w:t>
      </w:r>
      <w:r w:rsidR="00FD3124" w:rsidRPr="000A70D3">
        <w:rPr>
          <w:rFonts w:cs="Arial"/>
          <w:sz w:val="20"/>
        </w:rPr>
        <w:t xml:space="preserve">PK </w:t>
      </w:r>
      <w:r w:rsidRPr="000A70D3">
        <w:rPr>
          <w:rFonts w:cs="Arial"/>
          <w:sz w:val="20"/>
        </w:rPr>
        <w:t xml:space="preserve">model is run with a charcoal block, eliminating GI absorption, the Tmax </w:t>
      </w:r>
      <w:r w:rsidR="00201D98" w:rsidRPr="000A70D3">
        <w:rPr>
          <w:rFonts w:cs="Arial"/>
          <w:sz w:val="20"/>
        </w:rPr>
        <w:t xml:space="preserve">ratio </w:t>
      </w:r>
      <w:r w:rsidRPr="000A70D3">
        <w:rPr>
          <w:rFonts w:cs="Arial"/>
          <w:sz w:val="20"/>
        </w:rPr>
        <w:t xml:space="preserve">is </w:t>
      </w:r>
      <w:r w:rsidR="00201D98" w:rsidRPr="000A70D3">
        <w:rPr>
          <w:rFonts w:cs="Arial"/>
          <w:sz w:val="20"/>
        </w:rPr>
        <w:t xml:space="preserve">predicted to be within the BE criteria for both simulations, with </w:t>
      </w:r>
      <w:r w:rsidRPr="000A70D3">
        <w:rPr>
          <w:rFonts w:cs="Arial"/>
          <w:sz w:val="20"/>
        </w:rPr>
        <w:t>significantly less variab</w:t>
      </w:r>
      <w:r w:rsidR="00201D98" w:rsidRPr="000A70D3">
        <w:rPr>
          <w:rFonts w:cs="Arial"/>
          <w:sz w:val="20"/>
        </w:rPr>
        <w:t>ility for the BSV simulation</w:t>
      </w:r>
      <w:r w:rsidR="00A01B8C" w:rsidRPr="000A70D3">
        <w:rPr>
          <w:rFonts w:cs="Arial"/>
          <w:sz w:val="20"/>
        </w:rPr>
        <w:t>. The</w:t>
      </w:r>
      <w:r w:rsidR="008E552B" w:rsidRPr="000A70D3">
        <w:rPr>
          <w:rFonts w:cs="Arial"/>
          <w:sz w:val="20"/>
        </w:rPr>
        <w:t xml:space="preserve"> wider </w:t>
      </w:r>
      <w:r w:rsidR="00727367">
        <w:rPr>
          <w:rFonts w:cs="Arial"/>
          <w:sz w:val="20"/>
        </w:rPr>
        <w:t xml:space="preserve">Tmax </w:t>
      </w:r>
      <w:r w:rsidR="008E552B" w:rsidRPr="000A70D3">
        <w:rPr>
          <w:rFonts w:cs="Arial"/>
          <w:sz w:val="20"/>
        </w:rPr>
        <w:t>confidence interval for</w:t>
      </w:r>
      <w:r w:rsidR="00201D98" w:rsidRPr="000A70D3">
        <w:rPr>
          <w:rFonts w:cs="Arial"/>
          <w:sz w:val="20"/>
        </w:rPr>
        <w:t xml:space="preserve"> the BSV and WSV simulation</w:t>
      </w:r>
      <w:r w:rsidRPr="000A70D3">
        <w:rPr>
          <w:rFonts w:cs="Arial"/>
          <w:sz w:val="20"/>
        </w:rPr>
        <w:t xml:space="preserve"> is attributed to the application of WSV to the model. </w:t>
      </w:r>
    </w:p>
    <w:p w14:paraId="39850293" w14:textId="77777777" w:rsidR="005067FC" w:rsidRPr="000A70D3" w:rsidRDefault="005067FC" w:rsidP="005067FC">
      <w:pPr>
        <w:pStyle w:val="DDLHeading1"/>
        <w:rPr>
          <w:rFonts w:cs="Arial"/>
          <w:sz w:val="20"/>
          <w:szCs w:val="20"/>
        </w:rPr>
      </w:pPr>
      <w:r w:rsidRPr="000A70D3">
        <w:rPr>
          <w:rFonts w:cs="Arial"/>
          <w:sz w:val="20"/>
          <w:szCs w:val="20"/>
        </w:rPr>
        <w:t>Conclusion</w:t>
      </w:r>
    </w:p>
    <w:p w14:paraId="3EC08177" w14:textId="38E079C3" w:rsidR="005067FC" w:rsidRPr="000A70D3" w:rsidRDefault="005067FC" w:rsidP="005067FC">
      <w:pPr>
        <w:pStyle w:val="DDLBodyText"/>
      </w:pPr>
      <w:r w:rsidRPr="000A70D3">
        <w:rPr>
          <w:rFonts w:cs="Arial"/>
          <w:sz w:val="20"/>
        </w:rPr>
        <w:t xml:space="preserve">A PK model for </w:t>
      </w:r>
      <w:r w:rsidR="006A4CD0" w:rsidRPr="000A70D3">
        <w:rPr>
          <w:rFonts w:cs="Arial"/>
          <w:sz w:val="20"/>
        </w:rPr>
        <w:t xml:space="preserve">inhaled </w:t>
      </w:r>
      <w:r w:rsidR="00981FE9" w:rsidRPr="000A70D3">
        <w:rPr>
          <w:rFonts w:cs="Arial"/>
          <w:sz w:val="20"/>
        </w:rPr>
        <w:t>s</w:t>
      </w:r>
      <w:r w:rsidRPr="000A70D3">
        <w:rPr>
          <w:rFonts w:cs="Arial"/>
          <w:sz w:val="20"/>
        </w:rPr>
        <w:t xml:space="preserve">albutamol has been developed </w:t>
      </w:r>
      <w:r w:rsidR="006A4CD0" w:rsidRPr="000A70D3">
        <w:rPr>
          <w:rFonts w:cs="Arial"/>
          <w:sz w:val="20"/>
        </w:rPr>
        <w:t xml:space="preserve">using Preludium® </w:t>
      </w:r>
      <w:r w:rsidRPr="000A70D3">
        <w:rPr>
          <w:rFonts w:cs="Arial"/>
          <w:sz w:val="20"/>
        </w:rPr>
        <w:t xml:space="preserve">that is able to predict </w:t>
      </w:r>
      <w:r w:rsidR="006A4CD0" w:rsidRPr="000A70D3">
        <w:rPr>
          <w:rFonts w:cs="Arial"/>
          <w:sz w:val="20"/>
        </w:rPr>
        <w:t xml:space="preserve">PK plasma profiles </w:t>
      </w:r>
      <w:r w:rsidRPr="000A70D3">
        <w:rPr>
          <w:rFonts w:cs="Arial"/>
          <w:sz w:val="20"/>
        </w:rPr>
        <w:t xml:space="preserve">and differentiate product strengths and different </w:t>
      </w:r>
      <w:r w:rsidR="0002078E" w:rsidRPr="000A70D3">
        <w:rPr>
          <w:rFonts w:cs="Arial"/>
          <w:sz w:val="20"/>
        </w:rPr>
        <w:t xml:space="preserve">inhalation </w:t>
      </w:r>
      <w:r w:rsidRPr="000A70D3">
        <w:rPr>
          <w:rFonts w:cs="Arial"/>
          <w:sz w:val="20"/>
        </w:rPr>
        <w:t>dosage forms. With the utilisation of an exponential error model, it is possible to simulate variance that could be expected in a</w:t>
      </w:r>
      <w:r w:rsidR="00D863E4" w:rsidRPr="000A70D3">
        <w:rPr>
          <w:rFonts w:cs="Arial"/>
          <w:sz w:val="20"/>
        </w:rPr>
        <w:t>n actual</w:t>
      </w:r>
      <w:r w:rsidRPr="000A70D3">
        <w:rPr>
          <w:rFonts w:cs="Arial"/>
          <w:sz w:val="20"/>
        </w:rPr>
        <w:t xml:space="preserve"> PK study and establish which test product configuration is most likely to achieve PK BE compared to a reference product. This may be particularly useful for the development of </w:t>
      </w:r>
      <w:r w:rsidR="007E2DB8" w:rsidRPr="000A70D3">
        <w:rPr>
          <w:rFonts w:cs="Arial"/>
          <w:sz w:val="20"/>
        </w:rPr>
        <w:t xml:space="preserve">bioequivalent </w:t>
      </w:r>
      <w:r w:rsidRPr="000A70D3">
        <w:rPr>
          <w:rFonts w:cs="Arial"/>
          <w:sz w:val="20"/>
        </w:rPr>
        <w:t xml:space="preserve">new LGWP MDIs. Further </w:t>
      </w:r>
      <w:r w:rsidR="000719FF" w:rsidRPr="000A70D3">
        <w:rPr>
          <w:rFonts w:cs="Arial"/>
          <w:sz w:val="20"/>
        </w:rPr>
        <w:t xml:space="preserve">model </w:t>
      </w:r>
      <w:r w:rsidRPr="000A70D3">
        <w:rPr>
          <w:rFonts w:cs="Arial"/>
          <w:sz w:val="20"/>
        </w:rPr>
        <w:t>refinement could be made to enable better estimation of expected variability for Tmax, for example including variation in absorption and permeation rates for BSV.</w:t>
      </w:r>
    </w:p>
    <w:p w14:paraId="57DCC0FB" w14:textId="77777777" w:rsidR="007D307A" w:rsidRPr="00BD5453" w:rsidRDefault="007D307A" w:rsidP="00D156FE">
      <w:pPr>
        <w:pStyle w:val="DDLHeading1"/>
        <w:rPr>
          <w:sz w:val="20"/>
          <w:szCs w:val="36"/>
        </w:rPr>
      </w:pPr>
      <w:r w:rsidRPr="000A70D3">
        <w:rPr>
          <w:sz w:val="20"/>
          <w:szCs w:val="36"/>
        </w:rPr>
        <w:t>References</w:t>
      </w:r>
    </w:p>
    <w:sectPr w:rsidR="007D307A" w:rsidRPr="00BD5453" w:rsidSect="00660395">
      <w:headerReference w:type="even" r:id="rId16"/>
      <w:headerReference w:type="default" r:id="rId17"/>
      <w:footerReference w:type="first" r:id="rId18"/>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DE41C" w14:textId="77777777" w:rsidR="00100C48" w:rsidRDefault="00100C48" w:rsidP="00A515A9">
      <w:pPr>
        <w:spacing w:after="0"/>
      </w:pPr>
      <w:r>
        <w:separator/>
      </w:r>
    </w:p>
  </w:endnote>
  <w:endnote w:type="continuationSeparator" w:id="0">
    <w:p w14:paraId="252434DB" w14:textId="77777777" w:rsidR="00100C48" w:rsidRDefault="00100C48" w:rsidP="00A515A9">
      <w:pPr>
        <w:spacing w:after="0"/>
      </w:pPr>
      <w:r>
        <w:continuationSeparator/>
      </w:r>
    </w:p>
  </w:endnote>
  <w:endnote w:type="continuationNotice" w:id="1">
    <w:p w14:paraId="709B7C99" w14:textId="77777777" w:rsidR="00100C48" w:rsidRDefault="00100C48">
      <w:pPr>
        <w:spacing w:after="0"/>
      </w:pPr>
    </w:p>
  </w:endnote>
  <w:endnote w:id="2">
    <w:p w14:paraId="1BA5C3BB" w14:textId="77777777" w:rsidR="005067FC" w:rsidRPr="00B961FB" w:rsidRDefault="005067FC" w:rsidP="005067FC">
      <w:pPr>
        <w:pStyle w:val="EndnoteText"/>
        <w:rPr>
          <w:rFonts w:cs="Arial"/>
          <w:sz w:val="16"/>
          <w:szCs w:val="16"/>
        </w:rPr>
      </w:pPr>
      <w:r w:rsidRPr="00B961FB">
        <w:rPr>
          <w:sz w:val="16"/>
          <w:szCs w:val="16"/>
        </w:rPr>
        <w:t>[</w:t>
      </w:r>
      <w:r w:rsidRPr="00B961FB">
        <w:rPr>
          <w:rStyle w:val="EndnoteReference"/>
          <w:sz w:val="16"/>
          <w:szCs w:val="16"/>
          <w:vertAlign w:val="baseline"/>
        </w:rPr>
        <w:endnoteRef/>
      </w:r>
      <w:r w:rsidRPr="00B961FB">
        <w:rPr>
          <w:sz w:val="16"/>
          <w:szCs w:val="16"/>
        </w:rPr>
        <w:t xml:space="preserve">]  </w:t>
      </w:r>
      <w:r>
        <w:rPr>
          <w:rFonts w:cs="Arial"/>
          <w:sz w:val="16"/>
          <w:szCs w:val="16"/>
        </w:rPr>
        <w:t>Pritchard J: Change is in the air – the new pressurized metered-dose inhalers. (Abstract). Presented at: Drug Delivery to the Lungs (DDL2022), 2022, Edinburgh, UK</w:t>
      </w:r>
    </w:p>
  </w:endnote>
  <w:endnote w:id="3">
    <w:p w14:paraId="4152A1A5" w14:textId="77777777" w:rsidR="005067FC" w:rsidRPr="00474D6B" w:rsidRDefault="005067FC" w:rsidP="005067FC">
      <w:pPr>
        <w:pStyle w:val="EndnoteText"/>
        <w:rPr>
          <w:rFonts w:cs="Arial"/>
          <w:sz w:val="16"/>
          <w:szCs w:val="16"/>
        </w:rPr>
      </w:pPr>
      <w:r w:rsidRPr="00B961FB">
        <w:rPr>
          <w:sz w:val="16"/>
          <w:szCs w:val="16"/>
        </w:rPr>
        <w:t>[</w:t>
      </w:r>
      <w:r w:rsidRPr="00B961FB">
        <w:rPr>
          <w:rStyle w:val="EndnoteReference"/>
          <w:sz w:val="16"/>
          <w:szCs w:val="16"/>
          <w:vertAlign w:val="baseline"/>
        </w:rPr>
        <w:endnoteRef/>
      </w:r>
      <w:r w:rsidRPr="00B961FB">
        <w:rPr>
          <w:sz w:val="16"/>
          <w:szCs w:val="16"/>
        </w:rPr>
        <w:t xml:space="preserve">]  </w:t>
      </w:r>
      <w:r w:rsidRPr="00B961FB">
        <w:rPr>
          <w:rFonts w:cs="Arial"/>
          <w:sz w:val="16"/>
          <w:szCs w:val="16"/>
        </w:rPr>
        <w:t xml:space="preserve">Olsson </w:t>
      </w:r>
      <w:r>
        <w:rPr>
          <w:rFonts w:cs="Arial"/>
          <w:sz w:val="16"/>
          <w:szCs w:val="16"/>
        </w:rPr>
        <w:t xml:space="preserve">B, </w:t>
      </w:r>
      <w:r w:rsidRPr="00B961FB">
        <w:rPr>
          <w:rFonts w:cs="Arial"/>
          <w:sz w:val="16"/>
          <w:szCs w:val="16"/>
        </w:rPr>
        <w:t>Bäckman</w:t>
      </w:r>
      <w:r>
        <w:rPr>
          <w:rFonts w:cs="Arial"/>
          <w:sz w:val="16"/>
          <w:szCs w:val="16"/>
        </w:rPr>
        <w:t xml:space="preserve"> P:  </w:t>
      </w:r>
      <w:r w:rsidRPr="00B961FB">
        <w:rPr>
          <w:rFonts w:cs="Arial"/>
          <w:sz w:val="16"/>
          <w:szCs w:val="16"/>
        </w:rPr>
        <w:t xml:space="preserve">Mimetikos </w:t>
      </w:r>
      <w:r w:rsidRPr="0098541E">
        <w:rPr>
          <w:rFonts w:cs="Arial"/>
          <w:sz w:val="16"/>
          <w:szCs w:val="16"/>
        </w:rPr>
        <w:t>Preludium</w:t>
      </w:r>
      <w:r w:rsidRPr="004A5ABC">
        <w:rPr>
          <w:rFonts w:cs="Arial"/>
          <w:sz w:val="16"/>
          <w:szCs w:val="16"/>
          <w:vertAlign w:val="superscript"/>
        </w:rPr>
        <w:t>TM</w:t>
      </w:r>
      <w:r w:rsidRPr="00B961FB">
        <w:rPr>
          <w:rFonts w:cs="Arial"/>
          <w:sz w:val="16"/>
          <w:szCs w:val="16"/>
        </w:rPr>
        <w:t>:</w:t>
      </w:r>
      <w:r>
        <w:rPr>
          <w:rFonts w:cs="Arial"/>
          <w:sz w:val="16"/>
          <w:szCs w:val="16"/>
        </w:rPr>
        <w:t xml:space="preserve"> </w:t>
      </w:r>
      <w:r w:rsidRPr="00B961FB">
        <w:rPr>
          <w:rFonts w:cs="Arial"/>
          <w:sz w:val="16"/>
          <w:szCs w:val="16"/>
        </w:rPr>
        <w:t>A New Pharma-friendly Aerosol Drug Deposition Calculator, in RN Dalby, PR Byron, D Traini, SJ Farr, JD Suman and A Watts</w:t>
      </w:r>
      <w:r>
        <w:rPr>
          <w:rFonts w:cs="Arial"/>
          <w:sz w:val="16"/>
          <w:szCs w:val="16"/>
        </w:rPr>
        <w:t xml:space="preserve"> (eds</w:t>
      </w:r>
      <w:r w:rsidRPr="00B961FB">
        <w:rPr>
          <w:rFonts w:cs="Arial"/>
          <w:sz w:val="16"/>
          <w:szCs w:val="16"/>
        </w:rPr>
        <w:t xml:space="preserve">), Respiratory Drug Delivery </w:t>
      </w:r>
      <w:r>
        <w:rPr>
          <w:rFonts w:cs="Arial"/>
          <w:sz w:val="16"/>
          <w:szCs w:val="16"/>
        </w:rPr>
        <w:t>2018</w:t>
      </w:r>
      <w:r w:rsidRPr="00B961FB">
        <w:rPr>
          <w:rFonts w:cs="Arial"/>
          <w:sz w:val="16"/>
          <w:szCs w:val="16"/>
        </w:rPr>
        <w:t>, Virginia Commonwealth University, p</w:t>
      </w:r>
      <w:r>
        <w:rPr>
          <w:rFonts w:cs="Arial"/>
          <w:sz w:val="16"/>
          <w:szCs w:val="16"/>
        </w:rPr>
        <w:t>p</w:t>
      </w:r>
      <w:r w:rsidRPr="00B961FB">
        <w:rPr>
          <w:rFonts w:cs="Arial"/>
          <w:sz w:val="16"/>
          <w:szCs w:val="16"/>
        </w:rPr>
        <w:t xml:space="preserve"> </w:t>
      </w:r>
      <w:r w:rsidRPr="00474D6B">
        <w:rPr>
          <w:rFonts w:cs="Arial"/>
          <w:sz w:val="16"/>
          <w:szCs w:val="16"/>
        </w:rPr>
        <w:t>103-111, 2018</w:t>
      </w:r>
    </w:p>
  </w:endnote>
  <w:endnote w:id="4">
    <w:p w14:paraId="5AC489AB" w14:textId="77777777" w:rsidR="005067FC" w:rsidRDefault="005067FC" w:rsidP="005067FC">
      <w:pPr>
        <w:pStyle w:val="EndnoteText"/>
      </w:pPr>
      <w:r>
        <w:t>[</w:t>
      </w:r>
      <w:r w:rsidRPr="00474D6B">
        <w:rPr>
          <w:rStyle w:val="EndnoteReference"/>
          <w:sz w:val="16"/>
          <w:szCs w:val="16"/>
          <w:vertAlign w:val="baseline"/>
        </w:rPr>
        <w:endnoteRef/>
      </w:r>
      <w:r>
        <w:t xml:space="preserve">] </w:t>
      </w:r>
      <w:r>
        <w:rPr>
          <w:sz w:val="16"/>
          <w:szCs w:val="16"/>
        </w:rPr>
        <w:t>Patel N,</w:t>
      </w:r>
      <w:r w:rsidRPr="00B961FB">
        <w:rPr>
          <w:sz w:val="16"/>
          <w:szCs w:val="16"/>
        </w:rPr>
        <w:t xml:space="preserve"> </w:t>
      </w:r>
      <w:r w:rsidRPr="004F627A">
        <w:rPr>
          <w:sz w:val="16"/>
          <w:szCs w:val="16"/>
        </w:rPr>
        <w:t>Slowey</w:t>
      </w:r>
      <w:r>
        <w:rPr>
          <w:sz w:val="16"/>
          <w:szCs w:val="16"/>
        </w:rPr>
        <w:t xml:space="preserve"> A, Harrison L:  T</w:t>
      </w:r>
      <w:r w:rsidRPr="0022536E">
        <w:rPr>
          <w:sz w:val="16"/>
          <w:szCs w:val="16"/>
        </w:rPr>
        <w:t>he Technical Challenges of the Developing Existing Inhalation Drug Products into New Metered Dose Inhaler Designs</w:t>
      </w:r>
      <w:r>
        <w:rPr>
          <w:sz w:val="16"/>
          <w:szCs w:val="16"/>
        </w:rPr>
        <w:t>. (Abstract). Presented at:  Drug Delivery to the Lungs (DDL2018), 2018, Edinburgh, UK</w:t>
      </w:r>
    </w:p>
  </w:endnote>
  <w:endnote w:id="5">
    <w:p w14:paraId="40E24986" w14:textId="77777777" w:rsidR="005067FC" w:rsidRDefault="005067FC" w:rsidP="005067FC">
      <w:pPr>
        <w:pStyle w:val="EndnoteText"/>
      </w:pPr>
      <w:r>
        <w:t>[</w:t>
      </w:r>
      <w:r w:rsidRPr="00F374BB">
        <w:rPr>
          <w:rStyle w:val="EndnoteReference"/>
          <w:sz w:val="16"/>
          <w:szCs w:val="16"/>
          <w:vertAlign w:val="baseline"/>
        </w:rPr>
        <w:endnoteRef/>
      </w:r>
      <w:r>
        <w:t xml:space="preserve">] </w:t>
      </w:r>
      <w:r w:rsidRPr="00894FC5">
        <w:rPr>
          <w:rFonts w:cs="Arial"/>
          <w:sz w:val="16"/>
          <w:szCs w:val="16"/>
        </w:rPr>
        <w:t>Olsson</w:t>
      </w:r>
      <w:r>
        <w:rPr>
          <w:rFonts w:cs="Arial"/>
          <w:sz w:val="16"/>
          <w:szCs w:val="16"/>
        </w:rPr>
        <w:t xml:space="preserve"> B: </w:t>
      </w:r>
      <w:r w:rsidRPr="00894FC5">
        <w:rPr>
          <w:rFonts w:cs="Arial"/>
          <w:sz w:val="16"/>
          <w:szCs w:val="16"/>
        </w:rPr>
        <w:t xml:space="preserve"> Mimetikos Preludium - PK Module User Manual</w:t>
      </w:r>
      <w:r>
        <w:rPr>
          <w:rFonts w:cs="Arial"/>
          <w:sz w:val="16"/>
          <w:szCs w:val="16"/>
        </w:rPr>
        <w:t xml:space="preserve"> </w:t>
      </w:r>
      <w:r w:rsidRPr="00894FC5">
        <w:rPr>
          <w:rFonts w:cs="Arial"/>
          <w:sz w:val="16"/>
          <w:szCs w:val="16"/>
        </w:rPr>
        <w:t>Main</w:t>
      </w:r>
      <w:r>
        <w:rPr>
          <w:rFonts w:cs="Arial"/>
          <w:sz w:val="16"/>
          <w:szCs w:val="16"/>
        </w:rPr>
        <w:t xml:space="preserve">, </w:t>
      </w:r>
      <w:r w:rsidRPr="00894FC5">
        <w:rPr>
          <w:rFonts w:cs="Arial"/>
          <w:sz w:val="16"/>
          <w:szCs w:val="16"/>
        </w:rPr>
        <w:t>Emmace Consulting,</w:t>
      </w:r>
      <w:r>
        <w:rPr>
          <w:rFonts w:cs="Arial"/>
          <w:sz w:val="16"/>
          <w:szCs w:val="16"/>
        </w:rPr>
        <w:t xml:space="preserve"> </w:t>
      </w:r>
      <w:r w:rsidRPr="00894FC5">
        <w:rPr>
          <w:rFonts w:cs="Arial"/>
          <w:sz w:val="16"/>
          <w:szCs w:val="16"/>
        </w:rPr>
        <w:t>202</w:t>
      </w:r>
      <w:r>
        <w:rPr>
          <w:rFonts w:cs="Arial"/>
          <w:sz w:val="16"/>
          <w:szCs w:val="16"/>
        </w:rPr>
        <w:t>2</w:t>
      </w:r>
    </w:p>
  </w:endnote>
  <w:endnote w:id="6">
    <w:p w14:paraId="0A92436F" w14:textId="77777777" w:rsidR="005067FC" w:rsidRPr="00EB0A9F" w:rsidRDefault="005067FC" w:rsidP="005067FC">
      <w:pPr>
        <w:pStyle w:val="EndnoteText"/>
        <w:rPr>
          <w:rFonts w:cs="Arial"/>
          <w:color w:val="212121"/>
          <w:sz w:val="16"/>
          <w:szCs w:val="16"/>
          <w:shd w:val="clear" w:color="auto" w:fill="FFFFFF"/>
        </w:rPr>
      </w:pPr>
      <w:r>
        <w:rPr>
          <w:sz w:val="16"/>
          <w:szCs w:val="16"/>
        </w:rPr>
        <w:t>[</w:t>
      </w:r>
      <w:r w:rsidRPr="0012745F">
        <w:rPr>
          <w:rStyle w:val="EndnoteReference"/>
          <w:sz w:val="16"/>
          <w:szCs w:val="16"/>
          <w:vertAlign w:val="baseline"/>
        </w:rPr>
        <w:endnoteRef/>
      </w:r>
      <w:r>
        <w:rPr>
          <w:sz w:val="16"/>
          <w:szCs w:val="16"/>
        </w:rPr>
        <w:t xml:space="preserve">] </w:t>
      </w:r>
      <w:r w:rsidRPr="00EB0A9F">
        <w:rPr>
          <w:rFonts w:cs="Arial"/>
          <w:color w:val="212121"/>
          <w:sz w:val="16"/>
          <w:szCs w:val="16"/>
          <w:shd w:val="clear" w:color="auto" w:fill="FFFFFF"/>
        </w:rPr>
        <w:t>Hochhaus G, Horhota S, Hendeles L, Suarez S, Rebello</w:t>
      </w:r>
      <w:r>
        <w:rPr>
          <w:rFonts w:cs="Arial"/>
          <w:color w:val="212121"/>
          <w:sz w:val="16"/>
          <w:szCs w:val="16"/>
          <w:shd w:val="clear" w:color="auto" w:fill="FFFFFF"/>
        </w:rPr>
        <w:t xml:space="preserve">:  </w:t>
      </w:r>
      <w:r w:rsidRPr="00EB0A9F">
        <w:rPr>
          <w:rFonts w:cs="Arial"/>
          <w:color w:val="212121"/>
          <w:sz w:val="16"/>
          <w:szCs w:val="16"/>
          <w:shd w:val="clear" w:color="auto" w:fill="FFFFFF"/>
        </w:rPr>
        <w:t>Pharmacokinetics of orally inhaled drug products. AAPS J.</w:t>
      </w:r>
      <w:r>
        <w:rPr>
          <w:rFonts w:cs="Arial"/>
          <w:color w:val="212121"/>
          <w:sz w:val="16"/>
          <w:szCs w:val="16"/>
          <w:shd w:val="clear" w:color="auto" w:fill="FFFFFF"/>
        </w:rPr>
        <w:t xml:space="preserve"> </w:t>
      </w:r>
      <w:r w:rsidRPr="00EB0A9F">
        <w:rPr>
          <w:rFonts w:cs="Arial"/>
          <w:color w:val="212121"/>
          <w:sz w:val="16"/>
          <w:szCs w:val="16"/>
          <w:shd w:val="clear" w:color="auto" w:fill="FFFFFF"/>
        </w:rPr>
        <w:t>2015;</w:t>
      </w:r>
      <w:r>
        <w:rPr>
          <w:rFonts w:cs="Arial"/>
          <w:color w:val="212121"/>
          <w:sz w:val="16"/>
          <w:szCs w:val="16"/>
          <w:shd w:val="clear" w:color="auto" w:fill="FFFFFF"/>
        </w:rPr>
        <w:t xml:space="preserve"> </w:t>
      </w:r>
      <w:r w:rsidRPr="00EB0A9F">
        <w:rPr>
          <w:rFonts w:cs="Arial"/>
          <w:color w:val="212121"/>
          <w:sz w:val="16"/>
          <w:szCs w:val="16"/>
          <w:shd w:val="clear" w:color="auto" w:fill="FFFFFF"/>
        </w:rPr>
        <w:t>17(3):</w:t>
      </w:r>
      <w:r>
        <w:rPr>
          <w:rFonts w:cs="Arial"/>
          <w:color w:val="212121"/>
          <w:sz w:val="16"/>
          <w:szCs w:val="16"/>
          <w:shd w:val="clear" w:color="auto" w:fill="FFFFFF"/>
        </w:rPr>
        <w:t xml:space="preserve"> pp </w:t>
      </w:r>
      <w:r w:rsidRPr="00EB0A9F">
        <w:rPr>
          <w:rFonts w:cs="Arial"/>
          <w:color w:val="212121"/>
          <w:sz w:val="16"/>
          <w:szCs w:val="16"/>
          <w:shd w:val="clear" w:color="auto" w:fill="FFFFFF"/>
        </w:rPr>
        <w:t>769–</w:t>
      </w:r>
      <w:r>
        <w:rPr>
          <w:rFonts w:cs="Arial"/>
          <w:color w:val="212121"/>
          <w:sz w:val="16"/>
          <w:szCs w:val="16"/>
          <w:shd w:val="clear" w:color="auto" w:fill="FFFFFF"/>
        </w:rPr>
        <w:t>7</w:t>
      </w:r>
      <w:r w:rsidRPr="00EB0A9F">
        <w:rPr>
          <w:rFonts w:cs="Arial"/>
          <w:color w:val="212121"/>
          <w:sz w:val="16"/>
          <w:szCs w:val="16"/>
          <w:shd w:val="clear" w:color="auto" w:fill="FFFFFF"/>
        </w:rPr>
        <w:t>75.</w:t>
      </w:r>
    </w:p>
  </w:endnote>
  <w:endnote w:id="7">
    <w:p w14:paraId="2831AA67" w14:textId="77777777" w:rsidR="005067FC" w:rsidRPr="00A72128" w:rsidRDefault="005067FC" w:rsidP="005067FC">
      <w:pPr>
        <w:rPr>
          <w:sz w:val="16"/>
          <w:szCs w:val="16"/>
        </w:rPr>
      </w:pPr>
      <w:r w:rsidRPr="00A72128">
        <w:rPr>
          <w:sz w:val="16"/>
          <w:szCs w:val="16"/>
        </w:rPr>
        <w:t>[</w:t>
      </w:r>
      <w:r w:rsidRPr="00A72128">
        <w:rPr>
          <w:rStyle w:val="EndnoteReference"/>
          <w:sz w:val="16"/>
          <w:szCs w:val="16"/>
          <w:vertAlign w:val="baseline"/>
        </w:rPr>
        <w:endnoteRef/>
      </w:r>
      <w:r w:rsidRPr="00A72128">
        <w:rPr>
          <w:sz w:val="16"/>
          <w:szCs w:val="16"/>
        </w:rPr>
        <w:t xml:space="preserve">] </w:t>
      </w:r>
      <w:r w:rsidRPr="0062116D">
        <w:rPr>
          <w:rFonts w:cs="Arial"/>
          <w:color w:val="212121"/>
          <w:sz w:val="16"/>
          <w:szCs w:val="16"/>
          <w:shd w:val="clear" w:color="auto" w:fill="FFFFFF"/>
        </w:rPr>
        <w:t>Weber B, Hochhaus G</w:t>
      </w:r>
      <w:r>
        <w:rPr>
          <w:rFonts w:cs="Arial"/>
          <w:color w:val="212121"/>
          <w:sz w:val="16"/>
          <w:szCs w:val="16"/>
          <w:shd w:val="clear" w:color="auto" w:fill="FFFFFF"/>
        </w:rPr>
        <w:t xml:space="preserve">:  </w:t>
      </w:r>
      <w:r w:rsidRPr="0062116D">
        <w:rPr>
          <w:rFonts w:cs="Arial"/>
          <w:color w:val="212121"/>
          <w:sz w:val="16"/>
          <w:szCs w:val="16"/>
          <w:shd w:val="clear" w:color="auto" w:fill="FFFFFF"/>
        </w:rPr>
        <w:t>A pharmacokinetic simulation tool for inhaled corticosteroids. AAPS J. 2013;</w:t>
      </w:r>
      <w:r>
        <w:rPr>
          <w:rFonts w:cs="Arial"/>
          <w:color w:val="212121"/>
          <w:sz w:val="16"/>
          <w:szCs w:val="16"/>
          <w:shd w:val="clear" w:color="auto" w:fill="FFFFFF"/>
        </w:rPr>
        <w:t xml:space="preserve"> </w:t>
      </w:r>
      <w:r w:rsidRPr="0062116D">
        <w:rPr>
          <w:rFonts w:cs="Arial"/>
          <w:color w:val="212121"/>
          <w:sz w:val="16"/>
          <w:szCs w:val="16"/>
          <w:shd w:val="clear" w:color="auto" w:fill="FFFFFF"/>
        </w:rPr>
        <w:t>15(1):</w:t>
      </w:r>
      <w:r>
        <w:rPr>
          <w:rFonts w:cs="Arial"/>
          <w:color w:val="212121"/>
          <w:sz w:val="16"/>
          <w:szCs w:val="16"/>
          <w:shd w:val="clear" w:color="auto" w:fill="FFFFFF"/>
        </w:rPr>
        <w:t xml:space="preserve"> pp </w:t>
      </w:r>
      <w:r w:rsidRPr="0062116D">
        <w:rPr>
          <w:rFonts w:cs="Arial"/>
          <w:color w:val="212121"/>
          <w:sz w:val="16"/>
          <w:szCs w:val="16"/>
          <w:shd w:val="clear" w:color="auto" w:fill="FFFFFF"/>
        </w:rPr>
        <w:t>159-</w:t>
      </w:r>
      <w:r>
        <w:rPr>
          <w:rFonts w:cs="Arial"/>
          <w:color w:val="212121"/>
          <w:sz w:val="16"/>
          <w:szCs w:val="16"/>
          <w:shd w:val="clear" w:color="auto" w:fill="FFFFFF"/>
        </w:rPr>
        <w:t>1</w:t>
      </w:r>
      <w:r w:rsidRPr="0062116D">
        <w:rPr>
          <w:rFonts w:cs="Arial"/>
          <w:color w:val="212121"/>
          <w:sz w:val="16"/>
          <w:szCs w:val="16"/>
          <w:shd w:val="clear" w:color="auto" w:fill="FFFFFF"/>
        </w:rPr>
        <w:t>71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74FD3" w14:textId="190FE02D" w:rsidR="007133AD" w:rsidRDefault="00B97F6F">
    <w:pPr>
      <w:pStyle w:val="Footer"/>
    </w:pPr>
    <w:r>
      <w:rPr>
        <w:noProof/>
      </w:rPr>
      <mc:AlternateContent>
        <mc:Choice Requires="wps">
          <w:drawing>
            <wp:anchor distT="0" distB="0" distL="0" distR="0" simplePos="0" relativeHeight="251658240" behindDoc="0" locked="0" layoutInCell="1" allowOverlap="1" wp14:anchorId="1117CB88" wp14:editId="4486F8C5">
              <wp:simplePos x="635" y="635"/>
              <wp:positionH relativeFrom="page">
                <wp:align>right</wp:align>
              </wp:positionH>
              <wp:positionV relativeFrom="page">
                <wp:align>bottom</wp:align>
              </wp:positionV>
              <wp:extent cx="443865" cy="443865"/>
              <wp:effectExtent l="0" t="0" r="0" b="0"/>
              <wp:wrapNone/>
              <wp:docPr id="8" name="Text Box 8"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C353BA" w14:textId="076FDBB1" w:rsidR="00B97F6F" w:rsidRPr="00B97F6F" w:rsidRDefault="00B97F6F" w:rsidP="00B97F6F">
                          <w:pPr>
                            <w:spacing w:after="0"/>
                            <w:rPr>
                              <w:rFonts w:ascii="Calibri" w:eastAsia="Calibri" w:hAnsi="Calibri" w:cs="Calibri"/>
                              <w:noProof/>
                              <w:color w:val="F09601"/>
                              <w:sz w:val="20"/>
                            </w:rPr>
                          </w:pPr>
                          <w:r w:rsidRPr="00B97F6F">
                            <w:rPr>
                              <w:rFonts w:ascii="Calibri" w:eastAsia="Calibri" w:hAnsi="Calibri" w:cs="Calibri"/>
                              <w:noProof/>
                              <w:color w:val="F09601"/>
                              <w:sz w:val="20"/>
                            </w:rPr>
                            <w:t>NON-CONFIDENTIAL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117CB88" id="_x0000_t202" coordsize="21600,21600" o:spt="202" path="m,l,21600r21600,l21600,xe">
              <v:stroke joinstyle="miter"/>
              <v:path gradientshapeok="t" o:connecttype="rect"/>
            </v:shapetype>
            <v:shape id="Text Box 8" o:spid="_x0000_s1026" type="#_x0000_t202" alt="NON-CONFIDENTIAL"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3C353BA" w14:textId="076FDBB1" w:rsidR="00B97F6F" w:rsidRPr="00B97F6F" w:rsidRDefault="00B97F6F" w:rsidP="00B97F6F">
                    <w:pPr>
                      <w:spacing w:after="0"/>
                      <w:rPr>
                        <w:rFonts w:ascii="Calibri" w:eastAsia="Calibri" w:hAnsi="Calibri" w:cs="Calibri"/>
                        <w:noProof/>
                        <w:color w:val="F09601"/>
                        <w:sz w:val="20"/>
                      </w:rPr>
                    </w:pPr>
                    <w:r w:rsidRPr="00B97F6F">
                      <w:rPr>
                        <w:rFonts w:ascii="Calibri" w:eastAsia="Calibri" w:hAnsi="Calibri" w:cs="Calibri"/>
                        <w:noProof/>
                        <w:color w:val="F09601"/>
                        <w:sz w:val="2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32B80" w14:textId="77777777" w:rsidR="00100C48" w:rsidRDefault="00100C48" w:rsidP="00A515A9">
      <w:pPr>
        <w:spacing w:after="0"/>
      </w:pPr>
      <w:r>
        <w:separator/>
      </w:r>
    </w:p>
  </w:footnote>
  <w:footnote w:type="continuationSeparator" w:id="0">
    <w:p w14:paraId="0E22D0F1" w14:textId="77777777" w:rsidR="00100C48" w:rsidRDefault="00100C48" w:rsidP="00A515A9">
      <w:pPr>
        <w:spacing w:after="0"/>
      </w:pPr>
      <w:r>
        <w:continuationSeparator/>
      </w:r>
    </w:p>
  </w:footnote>
  <w:footnote w:type="continuationNotice" w:id="1">
    <w:p w14:paraId="393929C2" w14:textId="77777777" w:rsidR="00100C48" w:rsidRDefault="00100C4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0C0F2FD4"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D158DE">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692338544"/>
        <w:lock w:val="sdtLocked"/>
        <w:placeholder>
          <w:docPart w:val="40B32B34E2B14503AFC8C1D40D0C30AD"/>
        </w:placeholder>
      </w:sdtPr>
      <w:sdtEndPr>
        <w:rPr>
          <w:i w:val="0"/>
        </w:rPr>
      </w:sdtEndPr>
      <w:sdtContent>
        <w:r w:rsidR="00357B39" w:rsidRPr="00357B39">
          <w:rPr>
            <w:rStyle w:val="PlaceholderText"/>
            <w:i/>
            <w:color w:val="auto"/>
          </w:rPr>
          <w:t>In Silico Modelling to</w:t>
        </w:r>
        <w:r w:rsidR="00357B39" w:rsidRPr="00357B39">
          <w:rPr>
            <w:rStyle w:val="PlaceholderText"/>
            <w:i/>
          </w:rPr>
          <w:t xml:space="preserve"> </w:t>
        </w:r>
        <w:r w:rsidR="00357B39">
          <w:t>Aid Product Development Strategies for Low Global Warming Potential Metered Dose Inhalers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1FE07E56"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73773753"/>
        <w:lock w:val="sdtLocked"/>
        <w:placeholder>
          <w:docPart w:val="312569CE4F2143D79DC651CFF70A4AF7"/>
        </w:placeholder>
      </w:sdtPr>
      <w:sdtEndPr>
        <w:rPr>
          <w:rStyle w:val="PlaceholderText"/>
          <w:color w:val="808080"/>
        </w:rPr>
      </w:sdtEndPr>
      <w:sdtContent>
        <w:r w:rsidR="00357B39" w:rsidRPr="00357B39">
          <w:rPr>
            <w:rStyle w:val="PlaceholderText"/>
            <w:i/>
            <w:color w:val="auto"/>
          </w:rPr>
          <w:t>Neha Patel</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2078E"/>
    <w:rsid w:val="00032260"/>
    <w:rsid w:val="00035082"/>
    <w:rsid w:val="00037822"/>
    <w:rsid w:val="00042D62"/>
    <w:rsid w:val="00054372"/>
    <w:rsid w:val="0006467A"/>
    <w:rsid w:val="00064707"/>
    <w:rsid w:val="000719FF"/>
    <w:rsid w:val="00091091"/>
    <w:rsid w:val="000A2590"/>
    <w:rsid w:val="000A5A12"/>
    <w:rsid w:val="000A70D3"/>
    <w:rsid w:val="000B268C"/>
    <w:rsid w:val="000C49C6"/>
    <w:rsid w:val="000D337F"/>
    <w:rsid w:val="000E77D5"/>
    <w:rsid w:val="000F0088"/>
    <w:rsid w:val="000F0C02"/>
    <w:rsid w:val="00100C48"/>
    <w:rsid w:val="0012224E"/>
    <w:rsid w:val="0012589C"/>
    <w:rsid w:val="00134FB6"/>
    <w:rsid w:val="00140C47"/>
    <w:rsid w:val="001516A0"/>
    <w:rsid w:val="0015719E"/>
    <w:rsid w:val="00160344"/>
    <w:rsid w:val="001604DB"/>
    <w:rsid w:val="001659DD"/>
    <w:rsid w:val="001735D7"/>
    <w:rsid w:val="00187C61"/>
    <w:rsid w:val="001942DB"/>
    <w:rsid w:val="001B0E1B"/>
    <w:rsid w:val="001B1358"/>
    <w:rsid w:val="001C1A34"/>
    <w:rsid w:val="001C403C"/>
    <w:rsid w:val="001C48AA"/>
    <w:rsid w:val="001D640E"/>
    <w:rsid w:val="001F70F6"/>
    <w:rsid w:val="001F79B3"/>
    <w:rsid w:val="00201D98"/>
    <w:rsid w:val="00217845"/>
    <w:rsid w:val="00222716"/>
    <w:rsid w:val="00226877"/>
    <w:rsid w:val="00226D0C"/>
    <w:rsid w:val="00231C18"/>
    <w:rsid w:val="002323A5"/>
    <w:rsid w:val="002556B1"/>
    <w:rsid w:val="00257A74"/>
    <w:rsid w:val="002666D8"/>
    <w:rsid w:val="00276C21"/>
    <w:rsid w:val="002824AD"/>
    <w:rsid w:val="00283F05"/>
    <w:rsid w:val="00287EA3"/>
    <w:rsid w:val="0029067A"/>
    <w:rsid w:val="002A0C93"/>
    <w:rsid w:val="002A3E34"/>
    <w:rsid w:val="002B74ED"/>
    <w:rsid w:val="002C61D2"/>
    <w:rsid w:val="002E2EE8"/>
    <w:rsid w:val="002E77AE"/>
    <w:rsid w:val="002F38E3"/>
    <w:rsid w:val="00311E4A"/>
    <w:rsid w:val="0031528C"/>
    <w:rsid w:val="00323FE7"/>
    <w:rsid w:val="0033185B"/>
    <w:rsid w:val="003457B2"/>
    <w:rsid w:val="00345FF8"/>
    <w:rsid w:val="0034725F"/>
    <w:rsid w:val="00357B39"/>
    <w:rsid w:val="00372B86"/>
    <w:rsid w:val="00387ECA"/>
    <w:rsid w:val="0039248E"/>
    <w:rsid w:val="003B1031"/>
    <w:rsid w:val="003B383B"/>
    <w:rsid w:val="003B65D1"/>
    <w:rsid w:val="003C568E"/>
    <w:rsid w:val="003C58EE"/>
    <w:rsid w:val="003C6A3B"/>
    <w:rsid w:val="003D10FC"/>
    <w:rsid w:val="003D2608"/>
    <w:rsid w:val="003D3DDE"/>
    <w:rsid w:val="003D7C47"/>
    <w:rsid w:val="003E5D10"/>
    <w:rsid w:val="003E6C73"/>
    <w:rsid w:val="003F37A9"/>
    <w:rsid w:val="00404A4E"/>
    <w:rsid w:val="0040614F"/>
    <w:rsid w:val="0041018A"/>
    <w:rsid w:val="00424C98"/>
    <w:rsid w:val="00427F09"/>
    <w:rsid w:val="00442036"/>
    <w:rsid w:val="00444A63"/>
    <w:rsid w:val="00447700"/>
    <w:rsid w:val="004620D5"/>
    <w:rsid w:val="0047094B"/>
    <w:rsid w:val="00486CE0"/>
    <w:rsid w:val="00490C5A"/>
    <w:rsid w:val="00496006"/>
    <w:rsid w:val="004A684A"/>
    <w:rsid w:val="004B2051"/>
    <w:rsid w:val="004B6D88"/>
    <w:rsid w:val="004C1847"/>
    <w:rsid w:val="004C2337"/>
    <w:rsid w:val="004D15C2"/>
    <w:rsid w:val="004E231C"/>
    <w:rsid w:val="004F7E1D"/>
    <w:rsid w:val="004F7F64"/>
    <w:rsid w:val="00504251"/>
    <w:rsid w:val="005067FC"/>
    <w:rsid w:val="005302DC"/>
    <w:rsid w:val="005303CA"/>
    <w:rsid w:val="005357DB"/>
    <w:rsid w:val="00541F41"/>
    <w:rsid w:val="005436C7"/>
    <w:rsid w:val="00544864"/>
    <w:rsid w:val="00544FB7"/>
    <w:rsid w:val="00547AD0"/>
    <w:rsid w:val="00556D81"/>
    <w:rsid w:val="00565D5A"/>
    <w:rsid w:val="0057657F"/>
    <w:rsid w:val="00582113"/>
    <w:rsid w:val="00587C2B"/>
    <w:rsid w:val="00591DC8"/>
    <w:rsid w:val="00593A46"/>
    <w:rsid w:val="00596663"/>
    <w:rsid w:val="00596A2E"/>
    <w:rsid w:val="005B5FD9"/>
    <w:rsid w:val="005D1383"/>
    <w:rsid w:val="005D3926"/>
    <w:rsid w:val="005D441D"/>
    <w:rsid w:val="005D7E01"/>
    <w:rsid w:val="005E1683"/>
    <w:rsid w:val="005E7A05"/>
    <w:rsid w:val="005F4472"/>
    <w:rsid w:val="00600A0F"/>
    <w:rsid w:val="006047B7"/>
    <w:rsid w:val="00613573"/>
    <w:rsid w:val="006220F6"/>
    <w:rsid w:val="00623DF2"/>
    <w:rsid w:val="00631B86"/>
    <w:rsid w:val="00640485"/>
    <w:rsid w:val="00642787"/>
    <w:rsid w:val="00660395"/>
    <w:rsid w:val="00671088"/>
    <w:rsid w:val="006714F0"/>
    <w:rsid w:val="00676DA7"/>
    <w:rsid w:val="00677708"/>
    <w:rsid w:val="00686D0B"/>
    <w:rsid w:val="00690572"/>
    <w:rsid w:val="00697AE7"/>
    <w:rsid w:val="006A4CD0"/>
    <w:rsid w:val="006A7D26"/>
    <w:rsid w:val="006B12B5"/>
    <w:rsid w:val="006B3D22"/>
    <w:rsid w:val="006D4C9F"/>
    <w:rsid w:val="006E1C6F"/>
    <w:rsid w:val="006E5E86"/>
    <w:rsid w:val="006F0288"/>
    <w:rsid w:val="006F4F79"/>
    <w:rsid w:val="007064E6"/>
    <w:rsid w:val="0070763C"/>
    <w:rsid w:val="007106E5"/>
    <w:rsid w:val="00711C1F"/>
    <w:rsid w:val="007133AD"/>
    <w:rsid w:val="007158D6"/>
    <w:rsid w:val="00715F4B"/>
    <w:rsid w:val="00727367"/>
    <w:rsid w:val="0077222C"/>
    <w:rsid w:val="007735FD"/>
    <w:rsid w:val="00774E51"/>
    <w:rsid w:val="00781E78"/>
    <w:rsid w:val="0078212D"/>
    <w:rsid w:val="00784010"/>
    <w:rsid w:val="00787F68"/>
    <w:rsid w:val="007A613F"/>
    <w:rsid w:val="007A6A12"/>
    <w:rsid w:val="007A73FC"/>
    <w:rsid w:val="007B2BEC"/>
    <w:rsid w:val="007B306E"/>
    <w:rsid w:val="007B38B6"/>
    <w:rsid w:val="007B5957"/>
    <w:rsid w:val="007C51D7"/>
    <w:rsid w:val="007D307A"/>
    <w:rsid w:val="007E2DB8"/>
    <w:rsid w:val="007E2F09"/>
    <w:rsid w:val="007E4351"/>
    <w:rsid w:val="00804EEB"/>
    <w:rsid w:val="008050EA"/>
    <w:rsid w:val="00810A47"/>
    <w:rsid w:val="00821655"/>
    <w:rsid w:val="00836B77"/>
    <w:rsid w:val="00837ED2"/>
    <w:rsid w:val="00841AC1"/>
    <w:rsid w:val="008443EE"/>
    <w:rsid w:val="008455CA"/>
    <w:rsid w:val="0084598F"/>
    <w:rsid w:val="0085204B"/>
    <w:rsid w:val="00852676"/>
    <w:rsid w:val="00860916"/>
    <w:rsid w:val="00870B52"/>
    <w:rsid w:val="00873756"/>
    <w:rsid w:val="008748C0"/>
    <w:rsid w:val="008805B7"/>
    <w:rsid w:val="00881895"/>
    <w:rsid w:val="00891513"/>
    <w:rsid w:val="008A0139"/>
    <w:rsid w:val="008B02F1"/>
    <w:rsid w:val="008B4BF0"/>
    <w:rsid w:val="008C13EF"/>
    <w:rsid w:val="008C5C57"/>
    <w:rsid w:val="008C7F2D"/>
    <w:rsid w:val="008D115B"/>
    <w:rsid w:val="008D4D8B"/>
    <w:rsid w:val="008D7F19"/>
    <w:rsid w:val="008E552B"/>
    <w:rsid w:val="008E7594"/>
    <w:rsid w:val="008F14A9"/>
    <w:rsid w:val="008F2A41"/>
    <w:rsid w:val="008F3909"/>
    <w:rsid w:val="00904130"/>
    <w:rsid w:val="00914D32"/>
    <w:rsid w:val="00930DA1"/>
    <w:rsid w:val="0093458B"/>
    <w:rsid w:val="00941946"/>
    <w:rsid w:val="0094361F"/>
    <w:rsid w:val="0095324F"/>
    <w:rsid w:val="00962F41"/>
    <w:rsid w:val="00964A86"/>
    <w:rsid w:val="00966CD3"/>
    <w:rsid w:val="00974E37"/>
    <w:rsid w:val="00976470"/>
    <w:rsid w:val="009818AC"/>
    <w:rsid w:val="00981FE9"/>
    <w:rsid w:val="0098256D"/>
    <w:rsid w:val="00990C1E"/>
    <w:rsid w:val="009928A4"/>
    <w:rsid w:val="00996628"/>
    <w:rsid w:val="009A0009"/>
    <w:rsid w:val="009A1638"/>
    <w:rsid w:val="009A4453"/>
    <w:rsid w:val="009A52B9"/>
    <w:rsid w:val="009A5E01"/>
    <w:rsid w:val="009B3116"/>
    <w:rsid w:val="009C6C08"/>
    <w:rsid w:val="009C7288"/>
    <w:rsid w:val="009D1A31"/>
    <w:rsid w:val="009D1CB7"/>
    <w:rsid w:val="009D5953"/>
    <w:rsid w:val="009D77B3"/>
    <w:rsid w:val="009E7542"/>
    <w:rsid w:val="009F0F6B"/>
    <w:rsid w:val="00A01B8C"/>
    <w:rsid w:val="00A0358B"/>
    <w:rsid w:val="00A06925"/>
    <w:rsid w:val="00A13504"/>
    <w:rsid w:val="00A14F14"/>
    <w:rsid w:val="00A26207"/>
    <w:rsid w:val="00A46DAE"/>
    <w:rsid w:val="00A475C7"/>
    <w:rsid w:val="00A515A9"/>
    <w:rsid w:val="00A67298"/>
    <w:rsid w:val="00A70294"/>
    <w:rsid w:val="00A70297"/>
    <w:rsid w:val="00A778E7"/>
    <w:rsid w:val="00A94905"/>
    <w:rsid w:val="00AA1175"/>
    <w:rsid w:val="00AA591F"/>
    <w:rsid w:val="00AA74BE"/>
    <w:rsid w:val="00AB22EF"/>
    <w:rsid w:val="00AC04A2"/>
    <w:rsid w:val="00AD115D"/>
    <w:rsid w:val="00B122AD"/>
    <w:rsid w:val="00B25B95"/>
    <w:rsid w:val="00B30A76"/>
    <w:rsid w:val="00B412B3"/>
    <w:rsid w:val="00B42A7F"/>
    <w:rsid w:val="00B5120E"/>
    <w:rsid w:val="00B54843"/>
    <w:rsid w:val="00B55646"/>
    <w:rsid w:val="00B719D1"/>
    <w:rsid w:val="00B72053"/>
    <w:rsid w:val="00B804AB"/>
    <w:rsid w:val="00B906A5"/>
    <w:rsid w:val="00B93A97"/>
    <w:rsid w:val="00B93B97"/>
    <w:rsid w:val="00B94313"/>
    <w:rsid w:val="00B97F6F"/>
    <w:rsid w:val="00BB2738"/>
    <w:rsid w:val="00BB33A4"/>
    <w:rsid w:val="00BC0021"/>
    <w:rsid w:val="00BC0844"/>
    <w:rsid w:val="00BC30C2"/>
    <w:rsid w:val="00BC3B49"/>
    <w:rsid w:val="00BC6711"/>
    <w:rsid w:val="00BD5453"/>
    <w:rsid w:val="00BD68AD"/>
    <w:rsid w:val="00BD70D3"/>
    <w:rsid w:val="00BD7DE3"/>
    <w:rsid w:val="00BE17ED"/>
    <w:rsid w:val="00C0283C"/>
    <w:rsid w:val="00C02AA1"/>
    <w:rsid w:val="00C126B9"/>
    <w:rsid w:val="00C372C2"/>
    <w:rsid w:val="00C4045A"/>
    <w:rsid w:val="00C543B6"/>
    <w:rsid w:val="00C5513E"/>
    <w:rsid w:val="00C55FA9"/>
    <w:rsid w:val="00C578AB"/>
    <w:rsid w:val="00C65A37"/>
    <w:rsid w:val="00C6681A"/>
    <w:rsid w:val="00C9183C"/>
    <w:rsid w:val="00C974E1"/>
    <w:rsid w:val="00CA7665"/>
    <w:rsid w:val="00CC1B69"/>
    <w:rsid w:val="00CC3B70"/>
    <w:rsid w:val="00CC614A"/>
    <w:rsid w:val="00CD7DA9"/>
    <w:rsid w:val="00CE39C8"/>
    <w:rsid w:val="00CF01BE"/>
    <w:rsid w:val="00CF24A7"/>
    <w:rsid w:val="00CF7D1B"/>
    <w:rsid w:val="00D0705C"/>
    <w:rsid w:val="00D075F7"/>
    <w:rsid w:val="00D1209B"/>
    <w:rsid w:val="00D156FE"/>
    <w:rsid w:val="00D158DE"/>
    <w:rsid w:val="00D23C41"/>
    <w:rsid w:val="00D24213"/>
    <w:rsid w:val="00D26210"/>
    <w:rsid w:val="00D41A7C"/>
    <w:rsid w:val="00D47884"/>
    <w:rsid w:val="00D47DB1"/>
    <w:rsid w:val="00D54376"/>
    <w:rsid w:val="00D566D3"/>
    <w:rsid w:val="00D67A60"/>
    <w:rsid w:val="00D85CE6"/>
    <w:rsid w:val="00D863E4"/>
    <w:rsid w:val="00D93537"/>
    <w:rsid w:val="00D9655E"/>
    <w:rsid w:val="00DB349E"/>
    <w:rsid w:val="00DB78D0"/>
    <w:rsid w:val="00DD4A2D"/>
    <w:rsid w:val="00DD5EB8"/>
    <w:rsid w:val="00DE0973"/>
    <w:rsid w:val="00DE257F"/>
    <w:rsid w:val="00DE53F7"/>
    <w:rsid w:val="00DE6AE7"/>
    <w:rsid w:val="00DF1745"/>
    <w:rsid w:val="00DF392A"/>
    <w:rsid w:val="00E00624"/>
    <w:rsid w:val="00E108CE"/>
    <w:rsid w:val="00E14DBF"/>
    <w:rsid w:val="00E42945"/>
    <w:rsid w:val="00E51564"/>
    <w:rsid w:val="00E51903"/>
    <w:rsid w:val="00E62590"/>
    <w:rsid w:val="00E642CB"/>
    <w:rsid w:val="00E676B1"/>
    <w:rsid w:val="00E72014"/>
    <w:rsid w:val="00E92FCA"/>
    <w:rsid w:val="00E9667D"/>
    <w:rsid w:val="00E97489"/>
    <w:rsid w:val="00EA530D"/>
    <w:rsid w:val="00EC2143"/>
    <w:rsid w:val="00ED747C"/>
    <w:rsid w:val="00EE0BAF"/>
    <w:rsid w:val="00EE7503"/>
    <w:rsid w:val="00F0237D"/>
    <w:rsid w:val="00F15D45"/>
    <w:rsid w:val="00F20F19"/>
    <w:rsid w:val="00F2248C"/>
    <w:rsid w:val="00F2495D"/>
    <w:rsid w:val="00F27E20"/>
    <w:rsid w:val="00F3080A"/>
    <w:rsid w:val="00F435EA"/>
    <w:rsid w:val="00F52779"/>
    <w:rsid w:val="00F83E7E"/>
    <w:rsid w:val="00F931AF"/>
    <w:rsid w:val="00FA1162"/>
    <w:rsid w:val="00FA51C4"/>
    <w:rsid w:val="00FA6F23"/>
    <w:rsid w:val="00FC33BA"/>
    <w:rsid w:val="00FD125D"/>
    <w:rsid w:val="00FD3124"/>
    <w:rsid w:val="00FE2845"/>
    <w:rsid w:val="00FE2EE6"/>
    <w:rsid w:val="00FF259D"/>
    <w:rsid w:val="00FF7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4792FFC-7DBF-4EB7-8C60-2AC720EC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39"/>
    <w:rsid w:val="005067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40B32B34E2B14503AFC8C1D40D0C30AD"/>
        <w:category>
          <w:name w:val="General"/>
          <w:gallery w:val="placeholder"/>
        </w:category>
        <w:types>
          <w:type w:val="bbPlcHdr"/>
        </w:types>
        <w:behaviors>
          <w:behavior w:val="content"/>
        </w:behaviors>
        <w:guid w:val="{4F6ABAA6-2BBF-48D0-AE1B-E151D4C5F899}"/>
      </w:docPartPr>
      <w:docPartBody>
        <w:p w:rsidR="002E0B5C" w:rsidRDefault="002E0B5C" w:rsidP="002E0B5C">
          <w:pPr>
            <w:pStyle w:val="40B32B34E2B14503AFC8C1D40D0C30AD"/>
          </w:pPr>
          <w:r w:rsidRPr="00160344">
            <w:rPr>
              <w:rStyle w:val="PlaceholderText"/>
              <w:color w:val="auto"/>
            </w:rPr>
            <w:t>Title of Your Paper</w:t>
          </w:r>
        </w:p>
      </w:docPartBody>
    </w:docPart>
    <w:docPart>
      <w:docPartPr>
        <w:name w:val="312569CE4F2143D79DC651CFF70A4AF7"/>
        <w:category>
          <w:name w:val="General"/>
          <w:gallery w:val="placeholder"/>
        </w:category>
        <w:types>
          <w:type w:val="bbPlcHdr"/>
        </w:types>
        <w:behaviors>
          <w:behavior w:val="content"/>
        </w:behaviors>
        <w:guid w:val="{34CB24E4-A612-4ABA-899A-A1A38AA99C1D}"/>
      </w:docPartPr>
      <w:docPartBody>
        <w:p w:rsidR="002E0B5C" w:rsidRDefault="002E0B5C" w:rsidP="002E0B5C">
          <w:pPr>
            <w:pStyle w:val="312569CE4F2143D79DC651CFF70A4AF7"/>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E0B5C"/>
    <w:rsid w:val="002E3CC4"/>
    <w:rsid w:val="003009AF"/>
    <w:rsid w:val="004A5D97"/>
    <w:rsid w:val="005025F8"/>
    <w:rsid w:val="00623571"/>
    <w:rsid w:val="007438EB"/>
    <w:rsid w:val="00943A37"/>
    <w:rsid w:val="009F0831"/>
    <w:rsid w:val="00A71DB4"/>
    <w:rsid w:val="00A91621"/>
    <w:rsid w:val="00AD0A82"/>
    <w:rsid w:val="00B01474"/>
    <w:rsid w:val="00C6642C"/>
    <w:rsid w:val="00CF113C"/>
    <w:rsid w:val="00CF1D98"/>
    <w:rsid w:val="00D07F37"/>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B5C"/>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40B32B34E2B14503AFC8C1D40D0C30AD">
    <w:name w:val="40B32B34E2B14503AFC8C1D40D0C30AD"/>
    <w:rsid w:val="002E0B5C"/>
    <w:rPr>
      <w:kern w:val="2"/>
      <w14:ligatures w14:val="standardContextual"/>
    </w:rPr>
  </w:style>
  <w:style w:type="paragraph" w:customStyle="1" w:styleId="312569CE4F2143D79DC651CFF70A4AF7">
    <w:name w:val="312569CE4F2143D79DC651CFF70A4AF7"/>
    <w:rsid w:val="002E0B5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b4ea12-099a-4c6e-9133-748cd188e8a0" xsi:nil="true"/>
    <lcf76f155ced4ddcb4097134ff3c332f xmlns="472f9219-c14f-47a1-a19c-2dfd818e588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338755B8503D45A63C174D4A45F983" ma:contentTypeVersion="16" ma:contentTypeDescription="Create a new document." ma:contentTypeScope="" ma:versionID="83d72d100903cd91c5d3db5a53b64d2c">
  <xsd:schema xmlns:xsd="http://www.w3.org/2001/XMLSchema" xmlns:xs="http://www.w3.org/2001/XMLSchema" xmlns:p="http://schemas.microsoft.com/office/2006/metadata/properties" xmlns:ns2="472f9219-c14f-47a1-a19c-2dfd818e5885" xmlns:ns3="bdb4ea12-099a-4c6e-9133-748cd188e8a0" targetNamespace="http://schemas.microsoft.com/office/2006/metadata/properties" ma:root="true" ma:fieldsID="d8cdefa407f3599ffdccab79da04483a" ns2:_="" ns3:_="">
    <xsd:import namespace="472f9219-c14f-47a1-a19c-2dfd818e5885"/>
    <xsd:import namespace="bdb4ea12-099a-4c6e-9133-748cd188e8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f9219-c14f-47a1-a19c-2dfd818e5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6db21b-0adf-4893-a592-8a0cf75937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4ea12-099a-4c6e-9133-748cd188e8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7785629-a959-4da8-9619-8782e5d1982d}" ma:internalName="TaxCatchAll" ma:showField="CatchAllData" ma:web="bdb4ea12-099a-4c6e-9133-748cd188e8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openxmlformats.org/package/2006/metadata/core-properties"/>
    <ds:schemaRef ds:uri="472f9219-c14f-47a1-a19c-2dfd818e5885"/>
    <ds:schemaRef ds:uri="http://schemas.microsoft.com/office/2006/documentManagement/types"/>
    <ds:schemaRef ds:uri="http://schemas.microsoft.com/office/infopath/2007/PartnerControls"/>
    <ds:schemaRef ds:uri="http://purl.org/dc/terms/"/>
    <ds:schemaRef ds:uri="bdb4ea12-099a-4c6e-9133-748cd188e8a0"/>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85A7D54-3BC5-4CD4-9963-5F82A3C6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f9219-c14f-47a1-a19c-2dfd818e5885"/>
    <ds:schemaRef ds:uri="bdb4ea12-099a-4c6e-9133-748cd188e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1923</Words>
  <Characters>10464</Characters>
  <Application>Microsoft Office Word</Application>
  <DocSecurity>4</DocSecurity>
  <Lines>87</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Sheila Coates</cp:lastModifiedBy>
  <cp:revision>2</cp:revision>
  <cp:lastPrinted>2023-10-13T08:47:00Z</cp:lastPrinted>
  <dcterms:created xsi:type="dcterms:W3CDTF">2023-10-13T15:18:00Z</dcterms:created>
  <dcterms:modified xsi:type="dcterms:W3CDTF">2023-10-13T15:18:00Z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0x01010077338755B8503D45A63C174D4A45F983</vt:lpwstr>
  </property>
  <property fmtid="{D5CDD505-2E9C-101B-9397-08002B2CF9AE}" pid="3" name="MediaServiceImageTags">
    <vt:lpwstr/>
  </property>
  <property fmtid="{D5CDD505-2E9C-101B-9397-08002B2CF9AE}" pid="4" name="ClassificationContentMarkingFooterShapeIds">
    <vt:lpwstr>8,9,b</vt:lpwstr>
  </property>
  <property fmtid="{D5CDD505-2E9C-101B-9397-08002B2CF9AE}" pid="5" name="ClassificationContentMarkingFooterFontProps">
    <vt:lpwstr>#f09601,10,Calibri</vt:lpwstr>
  </property>
  <property fmtid="{D5CDD505-2E9C-101B-9397-08002B2CF9AE}" pid="6" name="ClassificationContentMarkingFooterText">
    <vt:lpwstr>NON-CONFIDENTIAL</vt:lpwstr>
  </property>
  <property fmtid="{D5CDD505-2E9C-101B-9397-08002B2CF9AE}" pid="7" name="MSIP_Label_d23a8bdb-c426-4576-ade8-acdec6584069_Enabled">
    <vt:lpwstr>true</vt:lpwstr>
  </property>
  <property fmtid="{D5CDD505-2E9C-101B-9397-08002B2CF9AE}" pid="8" name="MSIP_Label_d23a8bdb-c426-4576-ade8-acdec6584069_SetDate">
    <vt:lpwstr>2023-05-24T05:14:53Z</vt:lpwstr>
  </property>
  <property fmtid="{D5CDD505-2E9C-101B-9397-08002B2CF9AE}" pid="9" name="MSIP_Label_d23a8bdb-c426-4576-ade8-acdec6584069_Method">
    <vt:lpwstr>Privileged</vt:lpwstr>
  </property>
  <property fmtid="{D5CDD505-2E9C-101B-9397-08002B2CF9AE}" pid="10" name="MSIP_Label_d23a8bdb-c426-4576-ade8-acdec6584069_Name">
    <vt:lpwstr>Non-Confidential</vt:lpwstr>
  </property>
  <property fmtid="{D5CDD505-2E9C-101B-9397-08002B2CF9AE}" pid="11" name="MSIP_Label_d23a8bdb-c426-4576-ade8-acdec6584069_SiteId">
    <vt:lpwstr>650394f2-b885-41db-8008-d675fd1fc2fe</vt:lpwstr>
  </property>
  <property fmtid="{D5CDD505-2E9C-101B-9397-08002B2CF9AE}" pid="12" name="MSIP_Label_d23a8bdb-c426-4576-ade8-acdec6584069_ActionId">
    <vt:lpwstr>a8ca9272-cd0f-4e81-85c7-3ebcd634080e</vt:lpwstr>
  </property>
  <property fmtid="{D5CDD505-2E9C-101B-9397-08002B2CF9AE}" pid="13" name="MSIP_Label_d23a8bdb-c426-4576-ade8-acdec6584069_ContentBits">
    <vt:lpwstr>2</vt:lpwstr>
  </property>
  <property fmtid="{D5CDD505-2E9C-101B-9397-08002B2CF9AE}" pid="14" name="MSIP_Label_f46e4105-3e82-45b8-ae81-15eb9858ce33_SiteId">
    <vt:lpwstr>650394f2-b885-41db-8008-d675fd1fc2fe</vt:lpwstr>
  </property>
  <property fmtid="{D5CDD505-2E9C-101B-9397-08002B2CF9AE}" pid="15" name="MSIP_Label_f46e4105-3e82-45b8-ae81-15eb9858ce33_Method">
    <vt:lpwstr>Privileged</vt:lpwstr>
  </property>
  <property fmtid="{D5CDD505-2E9C-101B-9397-08002B2CF9AE}" pid="16" name="MSIP_Label_f46e4105-3e82-45b8-ae81-15eb9858ce33_ActionId">
    <vt:lpwstr>d364d244-ff15-49eb-a1ed-651af5bdcf65</vt:lpwstr>
  </property>
  <property fmtid="{D5CDD505-2E9C-101B-9397-08002B2CF9AE}" pid="17" name="MSIP_Label_f46e4105-3e82-45b8-ae81-15eb9858ce33_ContentBits">
    <vt:lpwstr>2</vt:lpwstr>
  </property>
  <property fmtid="{D5CDD505-2E9C-101B-9397-08002B2CF9AE}" pid="18" name="MSIP_Label_f46e4105-3e82-45b8-ae81-15eb9858ce33_Enabled">
    <vt:lpwstr>true</vt:lpwstr>
  </property>
  <property fmtid="{D5CDD505-2E9C-101B-9397-08002B2CF9AE}" pid="19" name="MSIP_Label_f46e4105-3e82-45b8-ae81-15eb9858ce33_Name">
    <vt:lpwstr>Confidential</vt:lpwstr>
  </property>
  <property fmtid="{D5CDD505-2E9C-101B-9397-08002B2CF9AE}" pid="20" name="MSIP_Label_f46e4105-3e82-45b8-ae81-15eb9858ce33_SetDate">
    <vt:lpwstr>2023-05-23T13:24:49Z</vt:lpwstr>
  </property>
</Properties>
</file>