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5B3DBA66" w:rsidR="000E77D5" w:rsidRPr="00396880" w:rsidRDefault="00172ECE" w:rsidP="00AD115D">
      <w:pPr>
        <w:pStyle w:val="DDLTitle"/>
        <w:rPr>
          <w:bCs w:val="0"/>
          <w:sz w:val="20"/>
          <w:szCs w:val="20"/>
        </w:rPr>
      </w:pPr>
      <w:sdt>
        <w:sdtPr>
          <w:rPr>
            <w:bCs w:val="0"/>
            <w:sz w:val="20"/>
            <w:szCs w:val="20"/>
          </w:rPr>
          <w:alias w:val="Title"/>
          <w:tag w:val="Title"/>
          <w:id w:val="-912845432"/>
          <w:lock w:val="sdtLocked"/>
          <w:placeholder>
            <w:docPart w:val="F93874C70D8C44D6B0BA71800E08656C"/>
          </w:placeholder>
        </w:sdtPr>
        <w:sdtEndPr/>
        <w:sdtContent>
          <w:r w:rsidR="000366C3" w:rsidRPr="00396880">
            <w:rPr>
              <w:bCs w:val="0"/>
              <w:sz w:val="20"/>
              <w:szCs w:val="20"/>
              <w:lang w:val="en-US"/>
            </w:rPr>
            <w:t>Inhalable RNA formulations based on pulmonary surfactant and repurposed cationic amphiphilic drugs</w:t>
          </w:r>
          <w:r w:rsidR="000366C3" w:rsidRPr="00396880">
            <w:rPr>
              <w:bCs w:val="0"/>
              <w:sz w:val="20"/>
              <w:szCs w:val="20"/>
              <w:lang w:val="en-US"/>
            </w:rPr>
            <w:t xml:space="preserve"> </w:t>
          </w:r>
        </w:sdtContent>
      </w:sdt>
      <w:bookmarkEnd w:id="0"/>
      <w:r w:rsidR="00881895" w:rsidRPr="00396880">
        <w:rPr>
          <w:bCs w:val="0"/>
          <w:sz w:val="20"/>
          <w:szCs w:val="20"/>
        </w:rPr>
        <w:t xml:space="preserve"> </w:t>
      </w:r>
    </w:p>
    <w:bookmarkStart w:id="1" w:name="Author"/>
    <w:p w14:paraId="4271731C" w14:textId="77777777" w:rsidR="000366C3" w:rsidRPr="00396880" w:rsidRDefault="00172ECE" w:rsidP="00AD115D">
      <w:pPr>
        <w:pStyle w:val="DDLSubtitle"/>
        <w:rPr>
          <w:sz w:val="20"/>
          <w:szCs w:val="20"/>
          <w:vertAlign w:val="superscript"/>
        </w:rPr>
      </w:pPr>
      <w:sdt>
        <w:sdtPr>
          <w:rPr>
            <w:sz w:val="20"/>
            <w:szCs w:val="20"/>
            <w:u w:val="single"/>
          </w:rPr>
          <w:alias w:val="Main Author"/>
          <w:tag w:val="Main Author"/>
          <w:id w:val="854543900"/>
          <w:lock w:val="sdtLocked"/>
          <w:placeholder>
            <w:docPart w:val="38BA82FFF2774C26AC6862CFB8BB55DB"/>
          </w:placeholder>
        </w:sdtPr>
        <w:sdtEndPr/>
        <w:sdtContent>
          <w:r w:rsidR="00A638EF" w:rsidRPr="00396880">
            <w:rPr>
              <w:sz w:val="20"/>
              <w:szCs w:val="20"/>
              <w:u w:val="single"/>
            </w:rPr>
            <w:t>Koen Raemd</w:t>
          </w:r>
          <w:r w:rsidR="000366C3" w:rsidRPr="00396880">
            <w:rPr>
              <w:sz w:val="20"/>
              <w:szCs w:val="20"/>
              <w:u w:val="single"/>
            </w:rPr>
            <w:t>onck</w:t>
          </w:r>
        </w:sdtContent>
      </w:sdt>
      <w:bookmarkEnd w:id="1"/>
    </w:p>
    <w:p w14:paraId="669B7BB1" w14:textId="77777777" w:rsidR="000366C3" w:rsidRPr="00396880" w:rsidRDefault="000366C3" w:rsidP="000366C3">
      <w:pPr>
        <w:jc w:val="center"/>
        <w:rPr>
          <w:i/>
          <w:sz w:val="20"/>
          <w:lang w:val="en-US"/>
        </w:rPr>
      </w:pPr>
      <w:r w:rsidRPr="00396880">
        <w:rPr>
          <w:i/>
          <w:sz w:val="20"/>
          <w:lang w:val="en-US"/>
        </w:rPr>
        <w:t xml:space="preserve">Ghent Research Group on Nanomedicines, Laboratory of General Biochemistry and Physical Pharmacy, Department of Pharmaceutics, Faculty of Pharmaceutical Sciences, Ghent University, </w:t>
      </w:r>
      <w:proofErr w:type="spellStart"/>
      <w:r w:rsidRPr="00396880">
        <w:rPr>
          <w:i/>
          <w:sz w:val="20"/>
          <w:lang w:val="en-US"/>
        </w:rPr>
        <w:t>Ottergemsesteenweg</w:t>
      </w:r>
      <w:proofErr w:type="spellEnd"/>
      <w:r w:rsidRPr="00396880">
        <w:rPr>
          <w:i/>
          <w:sz w:val="20"/>
          <w:lang w:val="en-US"/>
        </w:rPr>
        <w:t xml:space="preserve"> 460, 9000 Ghent, Belgium.</w:t>
      </w:r>
    </w:p>
    <w:p w14:paraId="413F9F51" w14:textId="77777777" w:rsidR="00A638EF" w:rsidRPr="00396880" w:rsidRDefault="00A638EF" w:rsidP="00A638EF">
      <w:pPr>
        <w:jc w:val="center"/>
        <w:rPr>
          <w:i/>
          <w:sz w:val="20"/>
          <w:lang w:val="en-US"/>
        </w:rPr>
      </w:pPr>
    </w:p>
    <w:p w14:paraId="40CFADAF" w14:textId="103E1367" w:rsidR="00A638EF" w:rsidRPr="00396880" w:rsidRDefault="00A638EF" w:rsidP="00A638EF">
      <w:pPr>
        <w:rPr>
          <w:sz w:val="20"/>
        </w:rPr>
      </w:pPr>
      <w:r w:rsidRPr="00396880">
        <w:rPr>
          <w:sz w:val="20"/>
        </w:rPr>
        <w:t xml:space="preserve">The clinical approval of the first RNA interference (RNAi)-based medicinal product </w:t>
      </w:r>
      <w:proofErr w:type="spellStart"/>
      <w:r w:rsidRPr="00396880">
        <w:rPr>
          <w:sz w:val="20"/>
        </w:rPr>
        <w:t>Onpattro</w:t>
      </w:r>
      <w:proofErr w:type="spellEnd"/>
      <w:r w:rsidRPr="00396880">
        <w:rPr>
          <w:sz w:val="20"/>
        </w:rPr>
        <w:t>® (</w:t>
      </w:r>
      <w:proofErr w:type="spellStart"/>
      <w:r w:rsidRPr="00396880">
        <w:rPr>
          <w:sz w:val="20"/>
        </w:rPr>
        <w:t>patisiran</w:t>
      </w:r>
      <w:proofErr w:type="spellEnd"/>
      <w:r w:rsidRPr="00396880">
        <w:rPr>
          <w:sz w:val="20"/>
        </w:rPr>
        <w:t xml:space="preserve">) in 2018 and the more recent clinical success of the SARS-CoV-2 messenger RNA (mRNA)-based vaccines (Comirnaty® and Spikevax®) underscore the potential of RNA-based drugs. To be functional, RNA drugs require delivery into the cytosol of target cells. Lipid nanoparticles (LNPs) have become a well-established platform to package, protect and deliver various nucleic acid cargos. The lung is increasingly recognized as an attractive target organ for RNA delivery. However, </w:t>
      </w:r>
      <w:proofErr w:type="gramStart"/>
      <w:r w:rsidRPr="00396880">
        <w:rPr>
          <w:sz w:val="20"/>
        </w:rPr>
        <w:t>in spite of</w:t>
      </w:r>
      <w:proofErr w:type="gramEnd"/>
      <w:r w:rsidRPr="00396880">
        <w:rPr>
          <w:sz w:val="20"/>
        </w:rPr>
        <w:t xml:space="preserve"> many advantages of RNA inhalation therapy, to date no innovative RNA formulations are available for application in the lung. Moreover, the intracellular delivery efficiency of state-of-the-art LNPs remains relatively low. T</w:t>
      </w:r>
      <w:r w:rsidRPr="00396880">
        <w:rPr>
          <w:sz w:val="20"/>
          <w:lang w:val="en-US"/>
        </w:rPr>
        <w:t xml:space="preserve">his presentation will describe the repurposing of two distinct cationic amphiphiles, </w:t>
      </w:r>
      <w:proofErr w:type="gramStart"/>
      <w:r w:rsidRPr="00396880">
        <w:rPr>
          <w:i/>
          <w:sz w:val="20"/>
          <w:lang w:val="en-US"/>
        </w:rPr>
        <w:t>i.e.</w:t>
      </w:r>
      <w:proofErr w:type="gramEnd"/>
      <w:r w:rsidRPr="00396880">
        <w:rPr>
          <w:sz w:val="20"/>
          <w:lang w:val="en-US"/>
        </w:rPr>
        <w:t xml:space="preserve"> both low molecular weight cationic amphiphilic drugs (CADs) as well as the lung-related surfactant protein B (SP-B), to improve cellular delivery of RNA drugs for inhalation therapy. </w:t>
      </w:r>
    </w:p>
    <w:p w14:paraId="7A46E272" w14:textId="77777777" w:rsidR="00A638EF" w:rsidRPr="00396880" w:rsidRDefault="00A638EF" w:rsidP="00A638EF">
      <w:pPr>
        <w:rPr>
          <w:sz w:val="20"/>
        </w:rPr>
      </w:pPr>
    </w:p>
    <w:p w14:paraId="0C6A2162" w14:textId="77777777" w:rsidR="00A638EF" w:rsidRPr="00396880" w:rsidRDefault="00A638EF" w:rsidP="00A638EF">
      <w:pPr>
        <w:rPr>
          <w:sz w:val="20"/>
        </w:rPr>
      </w:pPr>
      <w:r w:rsidRPr="00396880">
        <w:rPr>
          <w:sz w:val="20"/>
        </w:rPr>
        <w:t xml:space="preserve">A variety of pharmacologically diverse CADs was identified to promote cytosolic delivery of siRNA from the </w:t>
      </w:r>
      <w:proofErr w:type="spellStart"/>
      <w:r w:rsidRPr="00396880">
        <w:rPr>
          <w:sz w:val="20"/>
        </w:rPr>
        <w:t>endolysosomal</w:t>
      </w:r>
      <w:proofErr w:type="spellEnd"/>
      <w:r w:rsidRPr="00396880">
        <w:rPr>
          <w:sz w:val="20"/>
        </w:rPr>
        <w:t xml:space="preserve"> compartment through the transient induction of (</w:t>
      </w:r>
      <w:proofErr w:type="spellStart"/>
      <w:r w:rsidRPr="00396880">
        <w:rPr>
          <w:sz w:val="20"/>
        </w:rPr>
        <w:t>phospho</w:t>
      </w:r>
      <w:proofErr w:type="spellEnd"/>
      <w:r w:rsidRPr="00396880">
        <w:rPr>
          <w:sz w:val="20"/>
        </w:rPr>
        <w:t xml:space="preserve">)lipidosis, lysosomal swelling and lysosomal membrane permeabilization (LMP). More recently, exploiting their ability to integrate in lipid membranes, CADs have been repurposed as both structural and pharmacologically functional components of LNP-like formulations, termed </w:t>
      </w:r>
      <w:proofErr w:type="spellStart"/>
      <w:r w:rsidRPr="00396880">
        <w:rPr>
          <w:sz w:val="20"/>
        </w:rPr>
        <w:t>CADosomes</w:t>
      </w:r>
      <w:proofErr w:type="spellEnd"/>
      <w:r w:rsidRPr="00396880">
        <w:rPr>
          <w:sz w:val="20"/>
        </w:rPr>
        <w:t xml:space="preserve"> and CAD-LNPs, for local delivery of both siRNA and mRNA. As CADs maintain their pharmacological activity upon LNP integration, these formulations provide opportunities for drug combination therapy for the treatment of a variety of pathologies.</w:t>
      </w:r>
    </w:p>
    <w:p w14:paraId="5E8F6AB7" w14:textId="77777777" w:rsidR="00A638EF" w:rsidRPr="00396880" w:rsidRDefault="00A638EF" w:rsidP="00A638EF">
      <w:pPr>
        <w:rPr>
          <w:sz w:val="20"/>
        </w:rPr>
      </w:pPr>
    </w:p>
    <w:p w14:paraId="3EFDDE93" w14:textId="77777777" w:rsidR="00A638EF" w:rsidRPr="00396880" w:rsidRDefault="00A638EF" w:rsidP="00A638EF">
      <w:pPr>
        <w:rPr>
          <w:sz w:val="20"/>
        </w:rPr>
      </w:pPr>
      <w:r w:rsidRPr="00396880">
        <w:rPr>
          <w:sz w:val="20"/>
          <w:lang w:val="en-US"/>
        </w:rPr>
        <w:t xml:space="preserve">While CADs induce an acquired lysosomal storage disease phenotype, the delivery-promoting potential of the endogenous SP-B protein correlates with its ability to fuse with cellular membranes. Hybrid formulations with a polymeric core surrounded by a lung surfactant envelope were developed for RNA delivery, enabling the identification of SP-B as a </w:t>
      </w:r>
      <w:proofErr w:type="spellStart"/>
      <w:r w:rsidRPr="00396880">
        <w:rPr>
          <w:sz w:val="20"/>
          <w:lang w:val="en-US"/>
        </w:rPr>
        <w:t>bonafide</w:t>
      </w:r>
      <w:proofErr w:type="spellEnd"/>
      <w:r w:rsidRPr="00396880">
        <w:rPr>
          <w:sz w:val="20"/>
          <w:lang w:val="en-US"/>
        </w:rPr>
        <w:t xml:space="preserve"> RNA delivery enhancer.</w:t>
      </w:r>
      <w:r w:rsidRPr="00396880">
        <w:rPr>
          <w:sz w:val="20"/>
        </w:rPr>
        <w:t xml:space="preserve"> </w:t>
      </w:r>
      <w:r w:rsidRPr="00396880">
        <w:rPr>
          <w:sz w:val="20"/>
          <w:lang w:val="en-US"/>
        </w:rPr>
        <w:t xml:space="preserve">Our work highlights a strong correlation between SP-B-mediated lipid mixing with anionic endosomal membranes and cytosolic siRNA delivery, a mode-of-action resembling that of certain viruses. Moreover, we could demonstrate that proteolipid SP-B formulations retained stability and biological activity following lyophilization, reconstitution and nebulization, even in the absence of cryo-and </w:t>
      </w:r>
      <w:proofErr w:type="spellStart"/>
      <w:r w:rsidRPr="00396880">
        <w:rPr>
          <w:sz w:val="20"/>
          <w:lang w:val="en-US"/>
        </w:rPr>
        <w:t>lyoprotectants</w:t>
      </w:r>
      <w:proofErr w:type="spellEnd"/>
      <w:r w:rsidRPr="00396880">
        <w:rPr>
          <w:sz w:val="20"/>
          <w:lang w:val="en-US"/>
        </w:rPr>
        <w:t xml:space="preserve">. In this work, also an innovative continuous single vial lyophilization concept based on spin-freezing, was successfully applied in collaboration with the Ghent-based company </w:t>
      </w:r>
      <w:proofErr w:type="spellStart"/>
      <w:r w:rsidRPr="00396880">
        <w:rPr>
          <w:sz w:val="20"/>
          <w:lang w:val="en-US"/>
        </w:rPr>
        <w:t>Rheavita</w:t>
      </w:r>
      <w:proofErr w:type="spellEnd"/>
      <w:r w:rsidRPr="00396880">
        <w:rPr>
          <w:sz w:val="20"/>
          <w:lang w:val="en-US"/>
        </w:rPr>
        <w:t>. Finally, several small SP-B-derived peptides were identified that could replicate the RNA delivery promoting activity of the native protein.</w:t>
      </w:r>
    </w:p>
    <w:p w14:paraId="2C507D0D" w14:textId="77777777" w:rsidR="00A638EF" w:rsidRPr="00396880" w:rsidRDefault="00A638EF" w:rsidP="00A638EF">
      <w:pPr>
        <w:rPr>
          <w:sz w:val="20"/>
        </w:rPr>
      </w:pPr>
    </w:p>
    <w:p w14:paraId="26DA38C9" w14:textId="77777777" w:rsidR="00A638EF" w:rsidRPr="00396880" w:rsidRDefault="00A638EF" w:rsidP="00A638EF">
      <w:pPr>
        <w:ind w:left="180" w:hanging="180"/>
        <w:rPr>
          <w:b/>
          <w:noProof/>
          <w:sz w:val="20"/>
          <w:lang w:val="en-US"/>
        </w:rPr>
      </w:pPr>
      <w:r w:rsidRPr="00396880">
        <w:rPr>
          <w:b/>
          <w:noProof/>
          <w:sz w:val="20"/>
          <w:lang w:val="en-US"/>
        </w:rPr>
        <w:t>Acknowledgments</w:t>
      </w:r>
    </w:p>
    <w:p w14:paraId="3B0B2621" w14:textId="4E1965EC" w:rsidR="00A638EF" w:rsidRPr="00396880" w:rsidRDefault="00A638EF" w:rsidP="00A638EF">
      <w:pPr>
        <w:rPr>
          <w:sz w:val="20"/>
        </w:rPr>
      </w:pPr>
      <w:r w:rsidRPr="00396880">
        <w:rPr>
          <w:noProof/>
          <w:sz w:val="20"/>
          <w:lang w:val="en-US"/>
        </w:rPr>
        <w:t>K.R. acknowledges the European Research Council (ERC) for funding received under the European Union's Horizon 2020 research and innovation program (ERC Consolidator Grant agreement No. 101002571) and the Italian Cystic Fibrosis Research Foundation for funding of the GenDel-CF project.</w:t>
      </w:r>
    </w:p>
    <w:p w14:paraId="37A292D5" w14:textId="77777777" w:rsidR="00A4047A" w:rsidRPr="00396880" w:rsidRDefault="00A4047A" w:rsidP="00A4047A">
      <w:pPr>
        <w:pStyle w:val="DDLBodyText"/>
        <w:rPr>
          <w:sz w:val="20"/>
        </w:rPr>
      </w:pPr>
    </w:p>
    <w:sectPr w:rsidR="00A4047A" w:rsidRPr="00396880" w:rsidSect="000366C3">
      <w:headerReference w:type="even" r:id="rId11"/>
      <w:headerReference w:type="default" r:id="rId12"/>
      <w:endnotePr>
        <w:numFmt w:val="decimal"/>
      </w:endnotePr>
      <w:pgSz w:w="11907" w:h="16839" w:code="9"/>
      <w:pgMar w:top="1304" w:right="1304" w:bottom="284"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355D3" w14:textId="77777777" w:rsidR="007F4697" w:rsidRDefault="007F4697" w:rsidP="00A515A9">
      <w:pPr>
        <w:spacing w:after="0"/>
      </w:pPr>
      <w:r>
        <w:separator/>
      </w:r>
    </w:p>
  </w:endnote>
  <w:endnote w:type="continuationSeparator" w:id="0">
    <w:p w14:paraId="282B5023" w14:textId="77777777" w:rsidR="007F4697" w:rsidRDefault="007F4697"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C0319" w14:textId="77777777" w:rsidR="007F4697" w:rsidRDefault="007F4697" w:rsidP="00A515A9">
      <w:pPr>
        <w:spacing w:after="0"/>
      </w:pPr>
      <w:r>
        <w:separator/>
      </w:r>
    </w:p>
  </w:footnote>
  <w:footnote w:type="continuationSeparator" w:id="0">
    <w:p w14:paraId="5FAE92D0" w14:textId="77777777" w:rsidR="007F4697" w:rsidRDefault="007F4697"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148AFA43"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BB722C">
      <w:rPr>
        <w:i/>
      </w:rPr>
      <w:t>4</w:t>
    </w:r>
    <w:r w:rsidR="008C5C57" w:rsidRPr="003C58EE">
      <w:rPr>
        <w:i/>
      </w:rPr>
      <w:t>,</w:t>
    </w:r>
    <w:r w:rsidR="00964A86" w:rsidRPr="003C58EE">
      <w:rPr>
        <w:i/>
      </w:rPr>
      <w:t xml:space="preserve"> 20</w:t>
    </w:r>
    <w:r w:rsidR="00F27E20" w:rsidRPr="003C58EE">
      <w:rPr>
        <w:i/>
      </w:rPr>
      <w:t>2</w:t>
    </w:r>
    <w:r w:rsidR="00BB722C">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712966800"/>
        <w:lock w:val="sdtLocked"/>
        <w:placeholder>
          <w:docPart w:val="B046F90048CB4F0380F99889E7477724"/>
        </w:placeholder>
        <w:showingPlcHdr/>
      </w:sdtPr>
      <w:sdtEndPr>
        <w:rPr>
          <w:rStyle w:val="PlaceholderText"/>
          <w:color w:val="808080"/>
        </w:rPr>
      </w:sdtEndPr>
      <w:sdtContent>
        <w:r w:rsidR="00881895" w:rsidRPr="003C58EE">
          <w:rPr>
            <w:rStyle w:val="PlaceholderText"/>
            <w:i/>
            <w:color w:val="auto"/>
          </w:rPr>
          <w:t>Title of Your Paper</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189706F3"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844078180"/>
        <w:lock w:val="sdtLocked"/>
        <w:placeholder>
          <w:docPart w:val="39B625EED4814D2B9795E37F9608D575"/>
        </w:placeholder>
      </w:sdtPr>
      <w:sdtEndPr>
        <w:rPr>
          <w:rStyle w:val="PlaceholderText"/>
          <w:color w:val="808080"/>
        </w:rPr>
      </w:sdtEndPr>
      <w:sdtContent>
        <w:r w:rsidR="000366C3" w:rsidRPr="000366C3">
          <w:rPr>
            <w:rStyle w:val="PlaceholderText"/>
            <w:i/>
            <w:color w:val="auto"/>
          </w:rPr>
          <w:t>Koen Raemdonck</w:t>
        </w:r>
      </w:sdtContent>
    </w:sdt>
    <w:r w:rsidR="00990C1E" w:rsidRPr="00BD7DE3">
      <w:rPr>
        <w:i/>
      </w:rPr>
      <w:fldChar w:fldCharType="end"/>
    </w:r>
    <w:r w:rsidR="00964A86" w:rsidRPr="00BD7DE3">
      <w:rPr>
        <w:i/>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32260"/>
    <w:rsid w:val="000366C3"/>
    <w:rsid w:val="00042D62"/>
    <w:rsid w:val="00054372"/>
    <w:rsid w:val="0006467A"/>
    <w:rsid w:val="000A2590"/>
    <w:rsid w:val="000A5A12"/>
    <w:rsid w:val="000E77D5"/>
    <w:rsid w:val="0012224E"/>
    <w:rsid w:val="00134FB6"/>
    <w:rsid w:val="001516A0"/>
    <w:rsid w:val="00160344"/>
    <w:rsid w:val="001604DB"/>
    <w:rsid w:val="00172ECE"/>
    <w:rsid w:val="001942DB"/>
    <w:rsid w:val="001B0E1B"/>
    <w:rsid w:val="001C1A34"/>
    <w:rsid w:val="001F70F6"/>
    <w:rsid w:val="001F79B3"/>
    <w:rsid w:val="00217845"/>
    <w:rsid w:val="00231C18"/>
    <w:rsid w:val="002666D8"/>
    <w:rsid w:val="00283F05"/>
    <w:rsid w:val="00287EA3"/>
    <w:rsid w:val="0029067A"/>
    <w:rsid w:val="002A3E34"/>
    <w:rsid w:val="002B74ED"/>
    <w:rsid w:val="002E77AE"/>
    <w:rsid w:val="002F38E3"/>
    <w:rsid w:val="00311E4A"/>
    <w:rsid w:val="0031528C"/>
    <w:rsid w:val="00323FE7"/>
    <w:rsid w:val="0033185B"/>
    <w:rsid w:val="0034725F"/>
    <w:rsid w:val="00387ECA"/>
    <w:rsid w:val="0039248E"/>
    <w:rsid w:val="00396880"/>
    <w:rsid w:val="003B1031"/>
    <w:rsid w:val="003B383B"/>
    <w:rsid w:val="003B65D1"/>
    <w:rsid w:val="003C568E"/>
    <w:rsid w:val="003C58EE"/>
    <w:rsid w:val="003C6A3B"/>
    <w:rsid w:val="003D10FC"/>
    <w:rsid w:val="003D3DDE"/>
    <w:rsid w:val="003D7C47"/>
    <w:rsid w:val="003E5D10"/>
    <w:rsid w:val="003F37A9"/>
    <w:rsid w:val="00404A4E"/>
    <w:rsid w:val="0040614F"/>
    <w:rsid w:val="0041018A"/>
    <w:rsid w:val="00424C98"/>
    <w:rsid w:val="00427F09"/>
    <w:rsid w:val="00442036"/>
    <w:rsid w:val="00444A63"/>
    <w:rsid w:val="00447700"/>
    <w:rsid w:val="00490C5A"/>
    <w:rsid w:val="00496006"/>
    <w:rsid w:val="004A684A"/>
    <w:rsid w:val="004B2051"/>
    <w:rsid w:val="004B6D88"/>
    <w:rsid w:val="004C1847"/>
    <w:rsid w:val="004F7E1D"/>
    <w:rsid w:val="004F7F64"/>
    <w:rsid w:val="005302DC"/>
    <w:rsid w:val="005303CA"/>
    <w:rsid w:val="005357DB"/>
    <w:rsid w:val="00541F41"/>
    <w:rsid w:val="00544864"/>
    <w:rsid w:val="00544FB7"/>
    <w:rsid w:val="00565D5A"/>
    <w:rsid w:val="00582113"/>
    <w:rsid w:val="00591DC8"/>
    <w:rsid w:val="00593A46"/>
    <w:rsid w:val="00596663"/>
    <w:rsid w:val="005B5FD9"/>
    <w:rsid w:val="005D1383"/>
    <w:rsid w:val="005D441D"/>
    <w:rsid w:val="005F4472"/>
    <w:rsid w:val="006047B7"/>
    <w:rsid w:val="00613573"/>
    <w:rsid w:val="006220F6"/>
    <w:rsid w:val="00623DF2"/>
    <w:rsid w:val="00631B86"/>
    <w:rsid w:val="00637050"/>
    <w:rsid w:val="00642787"/>
    <w:rsid w:val="00660395"/>
    <w:rsid w:val="00671088"/>
    <w:rsid w:val="00676DA7"/>
    <w:rsid w:val="00677708"/>
    <w:rsid w:val="00686D0B"/>
    <w:rsid w:val="00697AE7"/>
    <w:rsid w:val="006A7D26"/>
    <w:rsid w:val="006B12B5"/>
    <w:rsid w:val="006B3D22"/>
    <w:rsid w:val="006E1C6F"/>
    <w:rsid w:val="006F0288"/>
    <w:rsid w:val="0070763C"/>
    <w:rsid w:val="00711C1F"/>
    <w:rsid w:val="00715F4B"/>
    <w:rsid w:val="007735FD"/>
    <w:rsid w:val="00774E51"/>
    <w:rsid w:val="00781E78"/>
    <w:rsid w:val="0078212D"/>
    <w:rsid w:val="00784010"/>
    <w:rsid w:val="00787F68"/>
    <w:rsid w:val="007B2BEC"/>
    <w:rsid w:val="007B38B6"/>
    <w:rsid w:val="007D307A"/>
    <w:rsid w:val="007E2F09"/>
    <w:rsid w:val="007E4351"/>
    <w:rsid w:val="007F4697"/>
    <w:rsid w:val="00804EEB"/>
    <w:rsid w:val="008050EA"/>
    <w:rsid w:val="00821655"/>
    <w:rsid w:val="00836B77"/>
    <w:rsid w:val="00837ED2"/>
    <w:rsid w:val="008443EE"/>
    <w:rsid w:val="0084598F"/>
    <w:rsid w:val="00852676"/>
    <w:rsid w:val="00860916"/>
    <w:rsid w:val="00870B52"/>
    <w:rsid w:val="00881895"/>
    <w:rsid w:val="008B02F1"/>
    <w:rsid w:val="008B4BF0"/>
    <w:rsid w:val="008C5C57"/>
    <w:rsid w:val="008C7F2D"/>
    <w:rsid w:val="008D115B"/>
    <w:rsid w:val="008D4D8B"/>
    <w:rsid w:val="008D7F19"/>
    <w:rsid w:val="008F2A41"/>
    <w:rsid w:val="00930DA1"/>
    <w:rsid w:val="0093458B"/>
    <w:rsid w:val="00941946"/>
    <w:rsid w:val="0095324F"/>
    <w:rsid w:val="00964A86"/>
    <w:rsid w:val="00966CD3"/>
    <w:rsid w:val="00974E37"/>
    <w:rsid w:val="009818AC"/>
    <w:rsid w:val="00990C1E"/>
    <w:rsid w:val="00996628"/>
    <w:rsid w:val="009A0009"/>
    <w:rsid w:val="009A1638"/>
    <w:rsid w:val="009A4453"/>
    <w:rsid w:val="009A52B9"/>
    <w:rsid w:val="009A5E01"/>
    <w:rsid w:val="009C6C08"/>
    <w:rsid w:val="009D1A31"/>
    <w:rsid w:val="009D1CB7"/>
    <w:rsid w:val="009D5953"/>
    <w:rsid w:val="009D77B3"/>
    <w:rsid w:val="009E7542"/>
    <w:rsid w:val="00A0358B"/>
    <w:rsid w:val="00A13504"/>
    <w:rsid w:val="00A14F14"/>
    <w:rsid w:val="00A4047A"/>
    <w:rsid w:val="00A46DAE"/>
    <w:rsid w:val="00A515A9"/>
    <w:rsid w:val="00A638EF"/>
    <w:rsid w:val="00A67298"/>
    <w:rsid w:val="00A94905"/>
    <w:rsid w:val="00AA1175"/>
    <w:rsid w:val="00AA74BE"/>
    <w:rsid w:val="00AC04A2"/>
    <w:rsid w:val="00AD115D"/>
    <w:rsid w:val="00B122AD"/>
    <w:rsid w:val="00B25B95"/>
    <w:rsid w:val="00B412B3"/>
    <w:rsid w:val="00B42A7F"/>
    <w:rsid w:val="00B5120E"/>
    <w:rsid w:val="00B54843"/>
    <w:rsid w:val="00B55646"/>
    <w:rsid w:val="00B719D1"/>
    <w:rsid w:val="00B804AB"/>
    <w:rsid w:val="00B906A5"/>
    <w:rsid w:val="00B922C7"/>
    <w:rsid w:val="00B94313"/>
    <w:rsid w:val="00BB2738"/>
    <w:rsid w:val="00BB33A4"/>
    <w:rsid w:val="00BB722C"/>
    <w:rsid w:val="00BC0021"/>
    <w:rsid w:val="00BC30C2"/>
    <w:rsid w:val="00BC3B49"/>
    <w:rsid w:val="00BD68AD"/>
    <w:rsid w:val="00BD70D3"/>
    <w:rsid w:val="00BD7DE3"/>
    <w:rsid w:val="00C0283C"/>
    <w:rsid w:val="00C126B9"/>
    <w:rsid w:val="00C543B6"/>
    <w:rsid w:val="00C544FF"/>
    <w:rsid w:val="00C5513E"/>
    <w:rsid w:val="00C65A37"/>
    <w:rsid w:val="00C6681A"/>
    <w:rsid w:val="00C974E1"/>
    <w:rsid w:val="00CC1B69"/>
    <w:rsid w:val="00CE39C8"/>
    <w:rsid w:val="00CF24A7"/>
    <w:rsid w:val="00CF7D1B"/>
    <w:rsid w:val="00D075F7"/>
    <w:rsid w:val="00D1209B"/>
    <w:rsid w:val="00D156FE"/>
    <w:rsid w:val="00D23C41"/>
    <w:rsid w:val="00D26210"/>
    <w:rsid w:val="00D41A7C"/>
    <w:rsid w:val="00D47884"/>
    <w:rsid w:val="00D54376"/>
    <w:rsid w:val="00D566D3"/>
    <w:rsid w:val="00D67A60"/>
    <w:rsid w:val="00D85CE6"/>
    <w:rsid w:val="00D93537"/>
    <w:rsid w:val="00D9655E"/>
    <w:rsid w:val="00DB349E"/>
    <w:rsid w:val="00DD4A2D"/>
    <w:rsid w:val="00DD5EB8"/>
    <w:rsid w:val="00DE0973"/>
    <w:rsid w:val="00DE53F7"/>
    <w:rsid w:val="00DE6AE7"/>
    <w:rsid w:val="00DF1745"/>
    <w:rsid w:val="00DF392A"/>
    <w:rsid w:val="00E00624"/>
    <w:rsid w:val="00E108CE"/>
    <w:rsid w:val="00E14DBF"/>
    <w:rsid w:val="00E42945"/>
    <w:rsid w:val="00E51903"/>
    <w:rsid w:val="00E62590"/>
    <w:rsid w:val="00E92FCA"/>
    <w:rsid w:val="00E9667D"/>
    <w:rsid w:val="00E97489"/>
    <w:rsid w:val="00EA530D"/>
    <w:rsid w:val="00EC2143"/>
    <w:rsid w:val="00ED747C"/>
    <w:rsid w:val="00EE7503"/>
    <w:rsid w:val="00F15D45"/>
    <w:rsid w:val="00F20F19"/>
    <w:rsid w:val="00F2495D"/>
    <w:rsid w:val="00F27E20"/>
    <w:rsid w:val="00F3080A"/>
    <w:rsid w:val="00F435EA"/>
    <w:rsid w:val="00FA6F23"/>
    <w:rsid w:val="00FC33BA"/>
    <w:rsid w:val="00FD125D"/>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
      <w:docPartPr>
        <w:name w:val="39B625EED4814D2B9795E37F9608D575"/>
        <w:category>
          <w:name w:val="General"/>
          <w:gallery w:val="placeholder"/>
        </w:category>
        <w:types>
          <w:type w:val="bbPlcHdr"/>
        </w:types>
        <w:behaviors>
          <w:behavior w:val="content"/>
        </w:behaviors>
        <w:guid w:val="{5E179000-C411-4196-9BF0-EE96D2F5BD86}"/>
      </w:docPartPr>
      <w:docPartBody>
        <w:p w:rsidR="005330D0" w:rsidRDefault="005330D0" w:rsidP="005330D0">
          <w:pPr>
            <w:pStyle w:val="39B625EED4814D2B9795E37F9608D575"/>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3009AF"/>
    <w:rsid w:val="004A5D97"/>
    <w:rsid w:val="005025F8"/>
    <w:rsid w:val="005330D0"/>
    <w:rsid w:val="00623571"/>
    <w:rsid w:val="008136A9"/>
    <w:rsid w:val="00943A37"/>
    <w:rsid w:val="009F0831"/>
    <w:rsid w:val="00AD0A82"/>
    <w:rsid w:val="00B01474"/>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30D0"/>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8D4453BB1F984EACBD8F0C0D2798BE8D">
    <w:name w:val="8D4453BB1F984EACBD8F0C0D2798BE8D"/>
    <w:rsid w:val="005330D0"/>
    <w:rPr>
      <w:kern w:val="2"/>
      <w14:ligatures w14:val="standardContextual"/>
    </w:rPr>
  </w:style>
  <w:style w:type="paragraph" w:customStyle="1" w:styleId="39B625EED4814D2B9795E37F9608D575">
    <w:name w:val="39B625EED4814D2B9795E37F9608D575"/>
    <w:rsid w:val="005330D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60F07-64B8-4F13-997B-B5739F171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3.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4.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530</Words>
  <Characters>3024</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2015-06-18T14:58:00Z</cp:lastPrinted>
  <dcterms:created xsi:type="dcterms:W3CDTF">2023-10-11T16:57:00Z</dcterms:created>
  <dcterms:modified xsi:type="dcterms:W3CDTF">2023-10-11T16:57:00Z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