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2A7A2CCA" w:rsidR="000E77D5" w:rsidRPr="00E266DF" w:rsidRDefault="00BB3A29" w:rsidP="00AD115D">
      <w:pPr>
        <w:pStyle w:val="DDLTitle"/>
        <w:rPr>
          <w:sz w:val="20"/>
          <w:szCs w:val="36"/>
        </w:rPr>
      </w:pPr>
      <w:sdt>
        <w:sdtPr>
          <w:rPr>
            <w:sz w:val="20"/>
            <w:szCs w:val="36"/>
          </w:rPr>
          <w:alias w:val="Title"/>
          <w:tag w:val="Title"/>
          <w:id w:val="-912845432"/>
          <w:lock w:val="sdtLocked"/>
          <w:placeholder>
            <w:docPart w:val="F93874C70D8C44D6B0BA71800E08656C"/>
          </w:placeholder>
        </w:sdtPr>
        <w:sdtEndPr/>
        <w:sdtContent>
          <w:r w:rsidR="00E61628" w:rsidRPr="00E266DF">
            <w:rPr>
              <w:rStyle w:val="PlaceholderText"/>
              <w:color w:val="auto"/>
              <w:sz w:val="20"/>
              <w:szCs w:val="36"/>
            </w:rPr>
            <w:t>The role of mechanical properties in DPI Carriers</w:t>
          </w:r>
        </w:sdtContent>
      </w:sdt>
      <w:bookmarkEnd w:id="0"/>
    </w:p>
    <w:bookmarkStart w:id="1" w:name="Author"/>
    <w:p w14:paraId="57DCC0EC" w14:textId="1B95833D" w:rsidR="00C65A37" w:rsidRPr="00AD115D" w:rsidRDefault="00BB3A29" w:rsidP="00AD115D">
      <w:pPr>
        <w:pStyle w:val="DDLSubtitle"/>
      </w:pPr>
      <w:sdt>
        <w:sdtPr>
          <w:rPr>
            <w:u w:val="single"/>
          </w:rPr>
          <w:alias w:val="Main Author"/>
          <w:tag w:val="Main Author"/>
          <w:id w:val="854543900"/>
          <w:lock w:val="sdtLocked"/>
          <w:placeholder>
            <w:docPart w:val="38BA82FFF2774C26AC6862CFB8BB55DB"/>
          </w:placeholder>
        </w:sdtPr>
        <w:sdtEndPr/>
        <w:sdtContent>
          <w:r w:rsidR="003D0A8E">
            <w:rPr>
              <w:u w:val="single"/>
            </w:rPr>
            <w:t>Zeredescht Majid</w:t>
          </w:r>
        </w:sdtContent>
      </w:sdt>
      <w:bookmarkEnd w:id="1"/>
      <w:r w:rsidR="00676DA7" w:rsidRPr="00AD115D">
        <w:rPr>
          <w:vertAlign w:val="superscript"/>
        </w:rPr>
        <w:t>1</w:t>
      </w:r>
      <w:r w:rsidR="00676DA7" w:rsidRPr="00AD115D">
        <w:t>,</w:t>
      </w:r>
      <w:r w:rsidR="00B44DF3">
        <w:t xml:space="preserve"> Constanze Mueller</w:t>
      </w:r>
      <w:r w:rsidR="00B44DF3" w:rsidRPr="00B44DF3">
        <w:rPr>
          <w:vertAlign w:val="superscript"/>
        </w:rPr>
        <w:t>2</w:t>
      </w:r>
      <w:r w:rsidR="00B44DF3">
        <w:t>, Ricarda Leister</w:t>
      </w:r>
      <w:r w:rsidR="00B44DF3" w:rsidRPr="00B44DF3">
        <w:rPr>
          <w:vertAlign w:val="superscript"/>
        </w:rPr>
        <w:t>2</w:t>
      </w:r>
      <w:r w:rsidR="00676DA7" w:rsidRPr="00AD115D">
        <w:t xml:space="preserve"> </w:t>
      </w:r>
      <w:r w:rsidR="00C65A37" w:rsidRPr="00AD115D">
        <w:t xml:space="preserve">&amp; </w:t>
      </w:r>
      <w:r w:rsidR="003D0A8E">
        <w:t>Regina Scherließ</w:t>
      </w:r>
      <w:r w:rsidR="00C52F97">
        <w:rPr>
          <w:vertAlign w:val="superscript"/>
        </w:rPr>
        <w:t>1</w:t>
      </w:r>
    </w:p>
    <w:p w14:paraId="57DCC0ED" w14:textId="211FEB48" w:rsidR="00C65A37" w:rsidRPr="00BD68AD" w:rsidRDefault="00676DA7" w:rsidP="00AD115D">
      <w:pPr>
        <w:pStyle w:val="DDLAddress1"/>
      </w:pPr>
      <w:r w:rsidRPr="00AD115D">
        <w:rPr>
          <w:vertAlign w:val="superscript"/>
        </w:rPr>
        <w:t>1</w:t>
      </w:r>
      <w:r w:rsidR="00C52F97">
        <w:t xml:space="preserve">Department of Pharmaceutics and Biopharmaceutics, Kiel University, </w:t>
      </w:r>
      <w:proofErr w:type="spellStart"/>
      <w:r w:rsidR="00C52F97">
        <w:t>Gutenbergstrasse</w:t>
      </w:r>
      <w:proofErr w:type="spellEnd"/>
      <w:r w:rsidR="00C52F97">
        <w:t xml:space="preserve"> 76, 24118 Kiel, Germany</w:t>
      </w:r>
    </w:p>
    <w:p w14:paraId="57DCC0EE" w14:textId="44906595" w:rsidR="00676DA7" w:rsidRPr="00AD115D" w:rsidRDefault="00676DA7" w:rsidP="004115AB">
      <w:pPr>
        <w:pStyle w:val="DDLAddress2"/>
        <w:spacing w:after="120"/>
        <w:rPr>
          <w:bCs/>
          <w:u w:val="single"/>
        </w:rPr>
      </w:pPr>
      <w:r w:rsidRPr="00AD115D">
        <w:rPr>
          <w:vertAlign w:val="superscript"/>
        </w:rPr>
        <w:t>2</w:t>
      </w:r>
      <w:r w:rsidR="00B44DF3">
        <w:t xml:space="preserve">Meggle GmbH &amp; Co.KG, </w:t>
      </w:r>
      <w:proofErr w:type="spellStart"/>
      <w:r w:rsidR="00B44DF3">
        <w:t>Megglestr</w:t>
      </w:r>
      <w:proofErr w:type="spellEnd"/>
      <w:r w:rsidR="00B44DF3">
        <w:t xml:space="preserve">. 6-12, 83512 </w:t>
      </w:r>
      <w:proofErr w:type="spellStart"/>
      <w:r w:rsidR="00B44DF3">
        <w:t>Wasserburg</w:t>
      </w:r>
      <w:proofErr w:type="spellEnd"/>
      <w:r w:rsidR="00B44DF3">
        <w:t xml:space="preserve"> am Inn, Germany</w:t>
      </w:r>
    </w:p>
    <w:p w14:paraId="57DCC0EF" w14:textId="77777777" w:rsidR="00C65A37" w:rsidRPr="00582113" w:rsidRDefault="00C65A37" w:rsidP="004115AB">
      <w:pPr>
        <w:pStyle w:val="DDLHeading1"/>
        <w:spacing w:after="120"/>
        <w:rPr>
          <w:sz w:val="20"/>
          <w:szCs w:val="20"/>
        </w:rPr>
      </w:pPr>
      <w:r w:rsidRPr="00582113">
        <w:rPr>
          <w:sz w:val="20"/>
          <w:szCs w:val="20"/>
        </w:rPr>
        <w:t>Summary</w:t>
      </w:r>
    </w:p>
    <w:p w14:paraId="5A9D3402" w14:textId="5796D6A7" w:rsidR="003D0A8E" w:rsidRDefault="003D0A8E" w:rsidP="004115AB">
      <w:pPr>
        <w:spacing w:after="120"/>
        <w:rPr>
          <w:sz w:val="20"/>
        </w:rPr>
      </w:pPr>
      <w:r w:rsidRPr="003D0A8E">
        <w:rPr>
          <w:sz w:val="20"/>
        </w:rPr>
        <w:t>The aerodynamic performance of interactive blends</w:t>
      </w:r>
      <w:r w:rsidR="00C52F97">
        <w:rPr>
          <w:sz w:val="20"/>
        </w:rPr>
        <w:t xml:space="preserve"> is known to be influenced by mixing time and energy, but reasons remain poorly understood</w:t>
      </w:r>
      <w:r w:rsidRPr="003D0A8E">
        <w:rPr>
          <w:sz w:val="20"/>
        </w:rPr>
        <w:t xml:space="preserve">. </w:t>
      </w:r>
      <w:r w:rsidR="00815E73" w:rsidRPr="00815E73">
        <w:rPr>
          <w:sz w:val="20"/>
        </w:rPr>
        <w:t>The leading hypothesis</w:t>
      </w:r>
      <w:r w:rsidR="00815E73">
        <w:rPr>
          <w:sz w:val="20"/>
        </w:rPr>
        <w:t xml:space="preserve"> as</w:t>
      </w:r>
      <w:r w:rsidR="00815E73" w:rsidRPr="00815E73">
        <w:rPr>
          <w:sz w:val="20"/>
        </w:rPr>
        <w:t xml:space="preserve"> to explain why the fine particle fraction (FPF) decreases over increasing mixing time is based on the effect of so-called press-on forces</w:t>
      </w:r>
      <w:r w:rsidR="00413A2A">
        <w:rPr>
          <w:sz w:val="20"/>
        </w:rPr>
        <w:t>.</w:t>
      </w:r>
      <w:r w:rsidR="0016233A">
        <w:rPr>
          <w:sz w:val="20"/>
        </w:rPr>
        <w:t xml:space="preserve"> Plastic deformation of particles </w:t>
      </w:r>
      <w:r w:rsidR="004115AB">
        <w:rPr>
          <w:sz w:val="20"/>
        </w:rPr>
        <w:t>is</w:t>
      </w:r>
      <w:r w:rsidR="0016233A">
        <w:rPr>
          <w:sz w:val="20"/>
        </w:rPr>
        <w:t xml:space="preserve"> seen a requirement f</w:t>
      </w:r>
      <w:r w:rsidR="00413A2A">
        <w:rPr>
          <w:sz w:val="20"/>
        </w:rPr>
        <w:t xml:space="preserve">or press-on forces to have an effect. </w:t>
      </w:r>
      <w:r w:rsidRPr="003D0A8E">
        <w:rPr>
          <w:sz w:val="20"/>
        </w:rPr>
        <w:t xml:space="preserve">If this </w:t>
      </w:r>
      <w:r w:rsidR="00460E3F">
        <w:rPr>
          <w:sz w:val="20"/>
        </w:rPr>
        <w:t>hypothesis</w:t>
      </w:r>
      <w:r w:rsidRPr="003D0A8E">
        <w:rPr>
          <w:sz w:val="20"/>
        </w:rPr>
        <w:t xml:space="preserve"> holds true, it follows that interactive powder mixtures comprising carriers with a higher propensity for plastic deformation would exhibit a </w:t>
      </w:r>
      <w:r w:rsidR="00460E3F">
        <w:rPr>
          <w:sz w:val="20"/>
        </w:rPr>
        <w:t>higher</w:t>
      </w:r>
      <w:r w:rsidR="00460E3F" w:rsidRPr="003D0A8E">
        <w:rPr>
          <w:sz w:val="20"/>
        </w:rPr>
        <w:t xml:space="preserve"> </w:t>
      </w:r>
      <w:r w:rsidRPr="003D0A8E">
        <w:rPr>
          <w:sz w:val="20"/>
        </w:rPr>
        <w:t>sensitivity to these press-on forces compared to mixtures with carriers possessing a lower tendency for plastic deformation</w:t>
      </w:r>
      <w:r w:rsidR="0016233A">
        <w:rPr>
          <w:sz w:val="20"/>
        </w:rPr>
        <w:t xml:space="preserve"> (brittle materials)</w:t>
      </w:r>
      <w:r w:rsidRPr="003D0A8E">
        <w:rPr>
          <w:sz w:val="20"/>
        </w:rPr>
        <w:t>. Building upon this notion, we explore</w:t>
      </w:r>
      <w:r w:rsidR="00C01D45">
        <w:rPr>
          <w:sz w:val="20"/>
        </w:rPr>
        <w:t>d</w:t>
      </w:r>
      <w:r w:rsidRPr="003D0A8E">
        <w:rPr>
          <w:sz w:val="20"/>
        </w:rPr>
        <w:t xml:space="preserve"> the idea by developing model carrier</w:t>
      </w:r>
      <w:r w:rsidR="00460E3F">
        <w:rPr>
          <w:sz w:val="20"/>
        </w:rPr>
        <w:t>s</w:t>
      </w:r>
      <w:r w:rsidRPr="003D0A8E">
        <w:rPr>
          <w:sz w:val="20"/>
        </w:rPr>
        <w:t xml:space="preserve"> </w:t>
      </w:r>
      <w:r w:rsidR="00460E3F">
        <w:rPr>
          <w:sz w:val="20"/>
        </w:rPr>
        <w:t xml:space="preserve">of different mechanical properties </w:t>
      </w:r>
      <w:r w:rsidRPr="003D0A8E">
        <w:rPr>
          <w:sz w:val="20"/>
        </w:rPr>
        <w:t>using Eudragit RL and varying amounts of PEG 4000 as a plastici</w:t>
      </w:r>
      <w:r w:rsidR="00460E3F">
        <w:rPr>
          <w:sz w:val="20"/>
        </w:rPr>
        <w:t>s</w:t>
      </w:r>
      <w:r w:rsidRPr="003D0A8E">
        <w:rPr>
          <w:sz w:val="20"/>
        </w:rPr>
        <w:t>er. By adjusting plastici</w:t>
      </w:r>
      <w:r w:rsidR="00460E3F">
        <w:rPr>
          <w:sz w:val="20"/>
        </w:rPr>
        <w:t>s</w:t>
      </w:r>
      <w:r w:rsidRPr="003D0A8E">
        <w:rPr>
          <w:sz w:val="20"/>
        </w:rPr>
        <w:t>er content, we were able to control the deformability of the carriers. To assess deformability, we fabricated films from these microspheres and determined their Young's modulus under the assumption that the tensile deformation behaved similarly to the particles experiencing compressive stress. Utili</w:t>
      </w:r>
      <w:r w:rsidR="00460E3F">
        <w:rPr>
          <w:sz w:val="20"/>
        </w:rPr>
        <w:t>s</w:t>
      </w:r>
      <w:r w:rsidRPr="003D0A8E">
        <w:rPr>
          <w:sz w:val="20"/>
        </w:rPr>
        <w:t xml:space="preserve">ing these model carriers, we created mixtures using a high shear mixer, </w:t>
      </w:r>
      <w:r w:rsidR="00460E3F">
        <w:rPr>
          <w:sz w:val="20"/>
        </w:rPr>
        <w:t>took</w:t>
      </w:r>
      <w:r w:rsidR="00460E3F" w:rsidRPr="003D0A8E">
        <w:rPr>
          <w:sz w:val="20"/>
        </w:rPr>
        <w:t xml:space="preserve"> </w:t>
      </w:r>
      <w:r w:rsidRPr="003D0A8E">
        <w:rPr>
          <w:sz w:val="20"/>
        </w:rPr>
        <w:t>samples at different intervals of mixing time, and subsequently evaluated their aerodynamic performance. Through this systematic investigation, we successfully identified a correlation between the mechanical properties of the carrier and the maximum attainable FPF, as well as the decrease in FPF with mixing time.</w:t>
      </w:r>
    </w:p>
    <w:p w14:paraId="2FE7A0A2" w14:textId="77777777" w:rsidR="004115AB" w:rsidRDefault="00E14DBF" w:rsidP="004115AB">
      <w:pPr>
        <w:pStyle w:val="DDLBodyText"/>
        <w:spacing w:after="0"/>
        <w:rPr>
          <w:b/>
          <w:sz w:val="20"/>
        </w:rPr>
      </w:pPr>
      <w:r w:rsidRPr="00582113">
        <w:rPr>
          <w:b/>
          <w:sz w:val="20"/>
        </w:rPr>
        <w:t>Key Message</w:t>
      </w:r>
    </w:p>
    <w:p w14:paraId="765A1053" w14:textId="45E96600" w:rsidR="003D0A8E" w:rsidRDefault="00815E73" w:rsidP="004115AB">
      <w:pPr>
        <w:pStyle w:val="DDLBodyText"/>
        <w:spacing w:after="0"/>
        <w:rPr>
          <w:rStyle w:val="Strong"/>
          <w:rFonts w:cs="Arial"/>
          <w:b w:val="0"/>
          <w:bCs w:val="0"/>
          <w:sz w:val="20"/>
          <w:shd w:val="clear" w:color="auto" w:fill="FFFFFF"/>
        </w:rPr>
      </w:pPr>
      <w:r w:rsidRPr="004115AB">
        <w:rPr>
          <w:rStyle w:val="Strong"/>
          <w:rFonts w:cs="Arial"/>
          <w:b w:val="0"/>
          <w:bCs w:val="0"/>
          <w:sz w:val="20"/>
          <w:shd w:val="clear" w:color="auto" w:fill="FFFFFF"/>
        </w:rPr>
        <w:t xml:space="preserve">Mechanical properties of carriers in interactive blends influence the maximum achievable fine particle fraction as well as the steepness of the decline in FPF with mixing time. </w:t>
      </w:r>
      <w:r w:rsidR="0016233A" w:rsidRPr="004115AB">
        <w:rPr>
          <w:rStyle w:val="Strong"/>
          <w:rFonts w:cs="Arial"/>
          <w:b w:val="0"/>
          <w:bCs w:val="0"/>
          <w:sz w:val="20"/>
          <w:shd w:val="clear" w:color="auto" w:fill="FFFFFF"/>
        </w:rPr>
        <w:t xml:space="preserve">Plastic deformations are seen as a reason. An inadequate mixing process using to high energies can lead in </w:t>
      </w:r>
      <w:proofErr w:type="spellStart"/>
      <w:r w:rsidR="0016233A" w:rsidRPr="004115AB">
        <w:rPr>
          <w:rStyle w:val="Strong"/>
          <w:rFonts w:cs="Arial"/>
          <w:b w:val="0"/>
          <w:bCs w:val="0"/>
          <w:sz w:val="20"/>
          <w:shd w:val="clear" w:color="auto" w:fill="FFFFFF"/>
        </w:rPr>
        <w:t>amorphisation</w:t>
      </w:r>
      <w:proofErr w:type="spellEnd"/>
      <w:r w:rsidR="0016233A" w:rsidRPr="004115AB">
        <w:rPr>
          <w:rStyle w:val="Strong"/>
          <w:rFonts w:cs="Arial"/>
          <w:b w:val="0"/>
          <w:bCs w:val="0"/>
          <w:sz w:val="20"/>
          <w:shd w:val="clear" w:color="auto" w:fill="FFFFFF"/>
        </w:rPr>
        <w:t xml:space="preserve"> of the surface of </w:t>
      </w:r>
      <w:r w:rsidRPr="004115AB">
        <w:rPr>
          <w:rStyle w:val="Strong"/>
          <w:rFonts w:cs="Arial"/>
          <w:b w:val="0"/>
          <w:bCs w:val="0"/>
          <w:sz w:val="20"/>
          <w:shd w:val="clear" w:color="auto" w:fill="FFFFFF"/>
        </w:rPr>
        <w:t>brittle material</w:t>
      </w:r>
      <w:r w:rsidR="0016233A" w:rsidRPr="004115AB">
        <w:rPr>
          <w:rStyle w:val="Strong"/>
          <w:rFonts w:cs="Arial"/>
          <w:b w:val="0"/>
          <w:bCs w:val="0"/>
          <w:sz w:val="20"/>
          <w:shd w:val="clear" w:color="auto" w:fill="FFFFFF"/>
        </w:rPr>
        <w:t xml:space="preserve"> and thus regions which are prone for plastic deformations.</w:t>
      </w:r>
    </w:p>
    <w:p w14:paraId="25FAF793" w14:textId="77777777" w:rsidR="004115AB" w:rsidRPr="004115AB" w:rsidRDefault="004115AB" w:rsidP="004115AB">
      <w:pPr>
        <w:pStyle w:val="DDLBodyText"/>
        <w:spacing w:after="0"/>
        <w:rPr>
          <w:rStyle w:val="Strong"/>
          <w:rFonts w:cs="Arial"/>
          <w:b w:val="0"/>
          <w:bCs w:val="0"/>
          <w:sz w:val="20"/>
          <w:shd w:val="clear" w:color="auto" w:fill="FFFFFF"/>
        </w:rPr>
      </w:pPr>
    </w:p>
    <w:p w14:paraId="57DCC0F3" w14:textId="65B1F03C" w:rsidR="00C65A37" w:rsidRPr="00582113" w:rsidRDefault="00C65A37" w:rsidP="004115AB">
      <w:pPr>
        <w:pStyle w:val="DDLHeading1"/>
        <w:spacing w:before="0" w:after="120"/>
        <w:rPr>
          <w:sz w:val="20"/>
          <w:szCs w:val="20"/>
        </w:rPr>
      </w:pPr>
      <w:r w:rsidRPr="00582113">
        <w:rPr>
          <w:sz w:val="20"/>
          <w:szCs w:val="20"/>
        </w:rPr>
        <w:t>Introduction</w:t>
      </w:r>
    </w:p>
    <w:p w14:paraId="225A9ECC" w14:textId="525315AC" w:rsidR="003D0A8E" w:rsidRDefault="003D0A8E" w:rsidP="004115AB">
      <w:pPr>
        <w:pStyle w:val="DDLHeading1"/>
        <w:spacing w:before="0" w:after="120"/>
        <w:rPr>
          <w:b w:val="0"/>
          <w:bCs w:val="0"/>
          <w:kern w:val="0"/>
          <w:sz w:val="20"/>
          <w:szCs w:val="20"/>
        </w:rPr>
      </w:pPr>
      <w:r w:rsidRPr="003D0A8E">
        <w:rPr>
          <w:b w:val="0"/>
          <w:bCs w:val="0"/>
          <w:kern w:val="0"/>
          <w:sz w:val="20"/>
          <w:szCs w:val="20"/>
        </w:rPr>
        <w:t>Interactive powder mixtures constitute the largest market share among DPIs, yet their understanding remains relatively inadequate. Specifically, the dynamics of aerodynamic performance in binary mixtures concerning mixing time have been explored, but no clear causal relationships have emerged regarding the decline in fine particle fraction over</w:t>
      </w:r>
      <w:r w:rsidR="00C01D45">
        <w:rPr>
          <w:b w:val="0"/>
          <w:bCs w:val="0"/>
          <w:kern w:val="0"/>
          <w:sz w:val="20"/>
          <w:szCs w:val="20"/>
        </w:rPr>
        <w:t xml:space="preserve"> mixing</w:t>
      </w:r>
      <w:r w:rsidRPr="003D0A8E">
        <w:rPr>
          <w:b w:val="0"/>
          <w:bCs w:val="0"/>
          <w:kern w:val="0"/>
          <w:sz w:val="20"/>
          <w:szCs w:val="20"/>
        </w:rPr>
        <w:t xml:space="preserve"> time. </w:t>
      </w:r>
      <w:r w:rsidR="00460E3F">
        <w:rPr>
          <w:b w:val="0"/>
          <w:bCs w:val="0"/>
          <w:kern w:val="0"/>
          <w:sz w:val="20"/>
          <w:szCs w:val="20"/>
        </w:rPr>
        <w:t>According to the current state of</w:t>
      </w:r>
      <w:r w:rsidRPr="003D0A8E">
        <w:rPr>
          <w:b w:val="0"/>
          <w:bCs w:val="0"/>
          <w:kern w:val="0"/>
          <w:sz w:val="20"/>
          <w:szCs w:val="20"/>
        </w:rPr>
        <w:t xml:space="preserve"> knowledge, the reduction in fine particle fraction is attributed to press-on forces</w:t>
      </w:r>
      <w:r w:rsidR="00E61628">
        <w:rPr>
          <w:b w:val="0"/>
          <w:bCs w:val="0"/>
          <w:kern w:val="0"/>
          <w:sz w:val="20"/>
          <w:szCs w:val="20"/>
        </w:rPr>
        <w:t>,</w:t>
      </w:r>
      <w:r w:rsidRPr="003D0A8E">
        <w:rPr>
          <w:b w:val="0"/>
          <w:bCs w:val="0"/>
          <w:kern w:val="0"/>
          <w:sz w:val="20"/>
          <w:szCs w:val="20"/>
        </w:rPr>
        <w:t xml:space="preserve"> </w:t>
      </w:r>
      <w:r w:rsidR="00E61628">
        <w:rPr>
          <w:b w:val="0"/>
          <w:bCs w:val="0"/>
          <w:kern w:val="0"/>
          <w:sz w:val="20"/>
          <w:szCs w:val="20"/>
        </w:rPr>
        <w:t xml:space="preserve">causing </w:t>
      </w:r>
      <w:r w:rsidRPr="003D0A8E">
        <w:rPr>
          <w:b w:val="0"/>
          <w:bCs w:val="0"/>
          <w:kern w:val="0"/>
          <w:sz w:val="20"/>
          <w:szCs w:val="20"/>
        </w:rPr>
        <w:t>plastic deformation of particles</w:t>
      </w:r>
      <w:r w:rsidR="00815E73">
        <w:rPr>
          <w:b w:val="0"/>
          <w:bCs w:val="0"/>
          <w:kern w:val="0"/>
          <w:sz w:val="20"/>
          <w:szCs w:val="20"/>
        </w:rPr>
        <w:t xml:space="preserve"> [1,2]</w:t>
      </w:r>
      <w:r w:rsidRPr="003D0A8E">
        <w:rPr>
          <w:b w:val="0"/>
          <w:bCs w:val="0"/>
          <w:kern w:val="0"/>
          <w:sz w:val="20"/>
          <w:szCs w:val="20"/>
        </w:rPr>
        <w:t xml:space="preserve">. The decline in fine particle fraction </w:t>
      </w:r>
      <w:r w:rsidR="002878E0">
        <w:rPr>
          <w:b w:val="0"/>
          <w:bCs w:val="0"/>
          <w:kern w:val="0"/>
          <w:sz w:val="20"/>
          <w:szCs w:val="20"/>
        </w:rPr>
        <w:t xml:space="preserve">follows </w:t>
      </w:r>
      <w:r w:rsidRPr="003D0A8E">
        <w:rPr>
          <w:b w:val="0"/>
          <w:bCs w:val="0"/>
          <w:kern w:val="0"/>
          <w:sz w:val="20"/>
          <w:szCs w:val="20"/>
        </w:rPr>
        <w:t>an exponential function for binary mixtures</w:t>
      </w:r>
      <w:r w:rsidR="002878E0">
        <w:rPr>
          <w:b w:val="0"/>
          <w:bCs w:val="0"/>
          <w:kern w:val="0"/>
          <w:sz w:val="20"/>
          <w:szCs w:val="20"/>
        </w:rPr>
        <w:t> </w:t>
      </w:r>
      <w:r w:rsidR="00202EAD">
        <w:rPr>
          <w:b w:val="0"/>
          <w:bCs w:val="0"/>
          <w:kern w:val="0"/>
          <w:sz w:val="20"/>
          <w:szCs w:val="20"/>
        </w:rPr>
        <w:t>[</w:t>
      </w:r>
      <w:r w:rsidR="00491B7C">
        <w:rPr>
          <w:b w:val="0"/>
          <w:bCs w:val="0"/>
          <w:kern w:val="0"/>
          <w:sz w:val="20"/>
          <w:szCs w:val="20"/>
        </w:rPr>
        <w:t>3</w:t>
      </w:r>
      <w:r w:rsidR="00202EAD">
        <w:rPr>
          <w:b w:val="0"/>
          <w:bCs w:val="0"/>
          <w:kern w:val="0"/>
          <w:sz w:val="20"/>
          <w:szCs w:val="20"/>
        </w:rPr>
        <w:t>].</w:t>
      </w:r>
      <w:r w:rsidR="004115AB">
        <w:rPr>
          <w:b w:val="0"/>
          <w:bCs w:val="0"/>
          <w:kern w:val="0"/>
          <w:sz w:val="20"/>
          <w:szCs w:val="20"/>
        </w:rPr>
        <w:t xml:space="preserve"> </w:t>
      </w:r>
      <w:r w:rsidRPr="003D0A8E">
        <w:rPr>
          <w:b w:val="0"/>
          <w:bCs w:val="0"/>
          <w:kern w:val="0"/>
          <w:sz w:val="20"/>
          <w:szCs w:val="20"/>
        </w:rPr>
        <w:t xml:space="preserve">Following the current </w:t>
      </w:r>
      <w:r w:rsidR="002878E0">
        <w:rPr>
          <w:b w:val="0"/>
          <w:bCs w:val="0"/>
          <w:kern w:val="0"/>
          <w:sz w:val="20"/>
          <w:szCs w:val="20"/>
        </w:rPr>
        <w:t>hypothesis</w:t>
      </w:r>
      <w:r w:rsidRPr="003D0A8E">
        <w:rPr>
          <w:b w:val="0"/>
          <w:bCs w:val="0"/>
          <w:kern w:val="0"/>
          <w:sz w:val="20"/>
          <w:szCs w:val="20"/>
        </w:rPr>
        <w:t xml:space="preserve">, the associated </w:t>
      </w:r>
      <w:r w:rsidR="00C01D45">
        <w:rPr>
          <w:b w:val="0"/>
          <w:bCs w:val="0"/>
          <w:kern w:val="0"/>
          <w:sz w:val="20"/>
          <w:szCs w:val="20"/>
        </w:rPr>
        <w:t xml:space="preserve">rate </w:t>
      </w:r>
      <w:r w:rsidRPr="003D0A8E">
        <w:rPr>
          <w:b w:val="0"/>
          <w:bCs w:val="0"/>
          <w:kern w:val="0"/>
          <w:sz w:val="20"/>
          <w:szCs w:val="20"/>
        </w:rPr>
        <w:t xml:space="preserve">constant </w:t>
      </w:r>
      <w:r w:rsidR="00202EAD">
        <w:rPr>
          <w:b w:val="0"/>
          <w:bCs w:val="0"/>
          <w:kern w:val="0"/>
          <w:sz w:val="20"/>
          <w:szCs w:val="20"/>
        </w:rPr>
        <w:t xml:space="preserve">k </w:t>
      </w:r>
      <w:r w:rsidRPr="003D0A8E">
        <w:rPr>
          <w:b w:val="0"/>
          <w:bCs w:val="0"/>
          <w:kern w:val="0"/>
          <w:sz w:val="20"/>
          <w:szCs w:val="20"/>
        </w:rPr>
        <w:t xml:space="preserve">ought to correlate with the propensity of particles to undergo plastic deformation. This study </w:t>
      </w:r>
      <w:r w:rsidR="009F0253">
        <w:rPr>
          <w:b w:val="0"/>
          <w:bCs w:val="0"/>
          <w:kern w:val="0"/>
          <w:sz w:val="20"/>
          <w:szCs w:val="20"/>
        </w:rPr>
        <w:t>wants</w:t>
      </w:r>
      <w:r w:rsidR="009F0253" w:rsidRPr="003D0A8E">
        <w:rPr>
          <w:b w:val="0"/>
          <w:bCs w:val="0"/>
          <w:kern w:val="0"/>
          <w:sz w:val="20"/>
          <w:szCs w:val="20"/>
        </w:rPr>
        <w:t xml:space="preserve"> </w:t>
      </w:r>
      <w:r w:rsidRPr="003D0A8E">
        <w:rPr>
          <w:b w:val="0"/>
          <w:bCs w:val="0"/>
          <w:kern w:val="0"/>
          <w:sz w:val="20"/>
          <w:szCs w:val="20"/>
        </w:rPr>
        <w:t xml:space="preserve">to establish a </w:t>
      </w:r>
      <w:r w:rsidR="009F0253" w:rsidRPr="003D0A8E">
        <w:rPr>
          <w:b w:val="0"/>
          <w:bCs w:val="0"/>
          <w:kern w:val="0"/>
          <w:sz w:val="20"/>
          <w:szCs w:val="20"/>
        </w:rPr>
        <w:t>co</w:t>
      </w:r>
      <w:r w:rsidR="009F0253">
        <w:rPr>
          <w:b w:val="0"/>
          <w:bCs w:val="0"/>
          <w:kern w:val="0"/>
          <w:sz w:val="20"/>
          <w:szCs w:val="20"/>
        </w:rPr>
        <w:t>rrelation</w:t>
      </w:r>
      <w:r w:rsidR="009F0253" w:rsidRPr="003D0A8E">
        <w:rPr>
          <w:b w:val="0"/>
          <w:bCs w:val="0"/>
          <w:kern w:val="0"/>
          <w:sz w:val="20"/>
          <w:szCs w:val="20"/>
        </w:rPr>
        <w:t xml:space="preserve"> </w:t>
      </w:r>
      <w:r w:rsidRPr="003D0A8E">
        <w:rPr>
          <w:b w:val="0"/>
          <w:bCs w:val="0"/>
          <w:kern w:val="0"/>
          <w:sz w:val="20"/>
          <w:szCs w:val="20"/>
        </w:rPr>
        <w:t xml:space="preserve">between the aerodynamic performance of interactive powder mixtures and the mechanical properties of the </w:t>
      </w:r>
      <w:r w:rsidR="00544E0B">
        <w:rPr>
          <w:b w:val="0"/>
          <w:bCs w:val="0"/>
          <w:kern w:val="0"/>
          <w:sz w:val="20"/>
          <w:szCs w:val="20"/>
        </w:rPr>
        <w:t>carrier particles involved</w:t>
      </w:r>
      <w:r w:rsidRPr="003D0A8E">
        <w:rPr>
          <w:b w:val="0"/>
          <w:bCs w:val="0"/>
          <w:kern w:val="0"/>
          <w:sz w:val="20"/>
          <w:szCs w:val="20"/>
        </w:rPr>
        <w:t xml:space="preserve">. </w:t>
      </w:r>
    </w:p>
    <w:p w14:paraId="57DCC0F5" w14:textId="23ED81F2" w:rsidR="00966CD3" w:rsidRPr="00582113" w:rsidRDefault="00BD6660" w:rsidP="004115AB">
      <w:pPr>
        <w:pStyle w:val="DDLHeading1"/>
        <w:spacing w:after="120"/>
        <w:rPr>
          <w:sz w:val="20"/>
          <w:szCs w:val="20"/>
        </w:rPr>
      </w:pPr>
      <w:r>
        <w:rPr>
          <w:sz w:val="20"/>
          <w:szCs w:val="20"/>
        </w:rPr>
        <w:t>Methods</w:t>
      </w:r>
    </w:p>
    <w:p w14:paraId="750859FD" w14:textId="42D1145D" w:rsidR="00C01D45" w:rsidRPr="00F80CFC" w:rsidRDefault="00C01D45" w:rsidP="004115AB">
      <w:pPr>
        <w:pStyle w:val="DDLBodyText"/>
        <w:spacing w:after="120"/>
        <w:rPr>
          <w:sz w:val="20"/>
        </w:rPr>
      </w:pPr>
      <w:r w:rsidRPr="00C01D45">
        <w:rPr>
          <w:i/>
          <w:iCs/>
          <w:sz w:val="20"/>
        </w:rPr>
        <w:t xml:space="preserve">Carrier Engineering </w:t>
      </w:r>
    </w:p>
    <w:p w14:paraId="0A0CC189" w14:textId="18D24056" w:rsidR="00491B7C" w:rsidRDefault="00C01D45" w:rsidP="004115AB">
      <w:pPr>
        <w:pStyle w:val="DDLBodyText"/>
        <w:spacing w:after="120"/>
        <w:rPr>
          <w:sz w:val="20"/>
        </w:rPr>
      </w:pPr>
      <w:r w:rsidRPr="00C01D45">
        <w:rPr>
          <w:sz w:val="20"/>
        </w:rPr>
        <w:t xml:space="preserve">The </w:t>
      </w:r>
      <w:r>
        <w:rPr>
          <w:sz w:val="20"/>
        </w:rPr>
        <w:t>model carrier</w:t>
      </w:r>
      <w:r w:rsidRPr="00C01D45">
        <w:rPr>
          <w:sz w:val="20"/>
        </w:rPr>
        <w:t xml:space="preserve"> was produced </w:t>
      </w:r>
      <w:r w:rsidR="009F0253">
        <w:rPr>
          <w:sz w:val="20"/>
        </w:rPr>
        <w:t>by</w:t>
      </w:r>
      <w:r w:rsidRPr="00C01D45">
        <w:rPr>
          <w:sz w:val="20"/>
        </w:rPr>
        <w:t xml:space="preserve"> solvent evaporation. Eudragit RL PO (</w:t>
      </w:r>
      <w:r w:rsidR="001F1471">
        <w:rPr>
          <w:sz w:val="20"/>
        </w:rPr>
        <w:t>Evonik</w:t>
      </w:r>
      <w:r w:rsidRPr="00C01D45">
        <w:rPr>
          <w:sz w:val="20"/>
        </w:rPr>
        <w:t>, Darmstadt, Germany) was dissolved in acetone, and varying quantities of Macrogol 4000 (Clariant GmbH, Sulzbach, Germany) were added</w:t>
      </w:r>
      <w:r w:rsidR="00952BDA">
        <w:rPr>
          <w:sz w:val="20"/>
        </w:rPr>
        <w:t xml:space="preserve"> (</w:t>
      </w:r>
      <w:r w:rsidR="009F0253">
        <w:rPr>
          <w:sz w:val="20"/>
        </w:rPr>
        <w:t>0%</w:t>
      </w:r>
      <w:r w:rsidR="00952BDA">
        <w:rPr>
          <w:sz w:val="20"/>
        </w:rPr>
        <w:t>, 10% and 25%)</w:t>
      </w:r>
      <w:r w:rsidRPr="00C01D45">
        <w:rPr>
          <w:sz w:val="20"/>
        </w:rPr>
        <w:t>. S</w:t>
      </w:r>
      <w:r w:rsidR="009F0253">
        <w:rPr>
          <w:sz w:val="20"/>
        </w:rPr>
        <w:t>pan</w:t>
      </w:r>
      <w:r w:rsidRPr="00C01D45">
        <w:rPr>
          <w:sz w:val="20"/>
        </w:rPr>
        <w:t xml:space="preserve"> 80 (</w:t>
      </w:r>
      <w:proofErr w:type="spellStart"/>
      <w:r w:rsidRPr="00C01D45">
        <w:rPr>
          <w:sz w:val="20"/>
        </w:rPr>
        <w:t>Croda</w:t>
      </w:r>
      <w:proofErr w:type="spellEnd"/>
      <w:r w:rsidRPr="00C01D45">
        <w:rPr>
          <w:sz w:val="20"/>
        </w:rPr>
        <w:t xml:space="preserve"> </w:t>
      </w:r>
      <w:proofErr w:type="spellStart"/>
      <w:r w:rsidRPr="00C01D45">
        <w:rPr>
          <w:sz w:val="20"/>
        </w:rPr>
        <w:t>Ibérica</w:t>
      </w:r>
      <w:proofErr w:type="spellEnd"/>
      <w:r w:rsidRPr="00C01D45">
        <w:rPr>
          <w:sz w:val="20"/>
        </w:rPr>
        <w:t xml:space="preserve">, S.A, Spain) was dissolved in </w:t>
      </w:r>
      <w:r>
        <w:rPr>
          <w:sz w:val="20"/>
        </w:rPr>
        <w:t>liquid paraffine</w:t>
      </w:r>
      <w:r w:rsidR="00B44DF3">
        <w:rPr>
          <w:sz w:val="20"/>
        </w:rPr>
        <w:t xml:space="preserve"> </w:t>
      </w:r>
      <w:r w:rsidR="00815E73">
        <w:rPr>
          <w:sz w:val="20"/>
        </w:rPr>
        <w:t>(Caesar &amp; Loretz GmbH, Hilden, Germany). T</w:t>
      </w:r>
      <w:r w:rsidRPr="00C01D45">
        <w:rPr>
          <w:sz w:val="20"/>
        </w:rPr>
        <w:t>he hydrophilic phase</w:t>
      </w:r>
      <w:r w:rsidR="00815E73">
        <w:rPr>
          <w:sz w:val="20"/>
        </w:rPr>
        <w:t xml:space="preserve"> (</w:t>
      </w:r>
      <w:proofErr w:type="spellStart"/>
      <w:r w:rsidR="00815E73">
        <w:rPr>
          <w:sz w:val="20"/>
        </w:rPr>
        <w:t>i.e</w:t>
      </w:r>
      <w:proofErr w:type="spellEnd"/>
      <w:r w:rsidR="00815E73">
        <w:rPr>
          <w:sz w:val="20"/>
        </w:rPr>
        <w:t xml:space="preserve"> Acetone)</w:t>
      </w:r>
      <w:r w:rsidRPr="00C01D45">
        <w:rPr>
          <w:sz w:val="20"/>
        </w:rPr>
        <w:t xml:space="preserve"> was rapidly dispersed into the lipophilic phase </w:t>
      </w:r>
      <w:r w:rsidR="002A298F">
        <w:rPr>
          <w:sz w:val="20"/>
        </w:rPr>
        <w:t>under stirring</w:t>
      </w:r>
      <w:r w:rsidRPr="00C01D45">
        <w:rPr>
          <w:sz w:val="20"/>
        </w:rPr>
        <w:t xml:space="preserve"> (using a magnetic stirrer at 500 </w:t>
      </w:r>
      <w:r w:rsidR="002A298F">
        <w:rPr>
          <w:sz w:val="20"/>
        </w:rPr>
        <w:t>rpm</w:t>
      </w:r>
      <w:r w:rsidR="00815E73">
        <w:rPr>
          <w:sz w:val="20"/>
        </w:rPr>
        <w:t>)</w:t>
      </w:r>
      <w:r w:rsidRPr="00C01D45">
        <w:rPr>
          <w:sz w:val="20"/>
        </w:rPr>
        <w:t>. The acetone took approximately 90 minutes to evaporate. Subsequently, the particles</w:t>
      </w:r>
      <w:r w:rsidR="00815E73">
        <w:rPr>
          <w:sz w:val="20"/>
        </w:rPr>
        <w:t xml:space="preserve"> (batch size 2.5g)</w:t>
      </w:r>
      <w:r w:rsidRPr="00C01D45">
        <w:rPr>
          <w:sz w:val="20"/>
        </w:rPr>
        <w:t xml:space="preserve"> were collected </w:t>
      </w:r>
      <w:r w:rsidR="002A298F">
        <w:rPr>
          <w:sz w:val="20"/>
        </w:rPr>
        <w:t>by</w:t>
      </w:r>
      <w:r w:rsidR="002A298F" w:rsidRPr="00C01D45">
        <w:rPr>
          <w:sz w:val="20"/>
        </w:rPr>
        <w:t xml:space="preserve"> </w:t>
      </w:r>
      <w:r w:rsidRPr="00C01D45">
        <w:rPr>
          <w:sz w:val="20"/>
        </w:rPr>
        <w:t>vacuum filtration and washed three times with petroleum ether</w:t>
      </w:r>
      <w:r>
        <w:rPr>
          <w:sz w:val="20"/>
        </w:rPr>
        <w:t xml:space="preserve">. </w:t>
      </w:r>
    </w:p>
    <w:p w14:paraId="7F1FB9F0" w14:textId="7F11A5C7" w:rsidR="00C01D45" w:rsidRPr="00D05045" w:rsidRDefault="00D05045" w:rsidP="004115AB">
      <w:pPr>
        <w:pStyle w:val="DDLBodyText"/>
        <w:spacing w:after="120"/>
        <w:rPr>
          <w:i/>
          <w:iCs/>
          <w:sz w:val="20"/>
        </w:rPr>
      </w:pPr>
      <w:r w:rsidRPr="00D05045">
        <w:rPr>
          <w:i/>
          <w:iCs/>
          <w:sz w:val="20"/>
        </w:rPr>
        <w:t>High Shear Mixing</w:t>
      </w:r>
    </w:p>
    <w:p w14:paraId="0351C6FA" w14:textId="550AFEA6" w:rsidR="00C01D45" w:rsidRDefault="00D05045" w:rsidP="004115AB">
      <w:pPr>
        <w:pStyle w:val="DDLBodyText"/>
        <w:spacing w:after="120"/>
        <w:rPr>
          <w:sz w:val="20"/>
        </w:rPr>
      </w:pPr>
      <w:r w:rsidRPr="00D05045">
        <w:rPr>
          <w:sz w:val="20"/>
        </w:rPr>
        <w:t xml:space="preserve">The </w:t>
      </w:r>
      <w:r w:rsidR="009F0A59">
        <w:rPr>
          <w:rFonts w:cs="Arial"/>
          <w:color w:val="222222"/>
          <w:sz w:val="20"/>
          <w:shd w:val="clear" w:color="auto" w:fill="FFFFFF"/>
        </w:rPr>
        <w:t>Picoline</w:t>
      </w:r>
      <w:r w:rsidR="009F0A59">
        <w:rPr>
          <w:rFonts w:cs="Arial"/>
          <w:color w:val="222222"/>
          <w:sz w:val="20"/>
          <w:shd w:val="clear" w:color="auto" w:fill="FFFFFF"/>
          <w:vertAlign w:val="superscript"/>
        </w:rPr>
        <w:t>®</w:t>
      </w:r>
      <w:r w:rsidR="009F0A59">
        <w:rPr>
          <w:rFonts w:cs="Arial"/>
          <w:color w:val="222222"/>
          <w:sz w:val="20"/>
          <w:shd w:val="clear" w:color="auto" w:fill="FFFFFF"/>
        </w:rPr>
        <w:t> (</w:t>
      </w:r>
      <w:proofErr w:type="spellStart"/>
      <w:r w:rsidR="009F0A59">
        <w:rPr>
          <w:rFonts w:cs="Arial"/>
          <w:color w:val="222222"/>
          <w:sz w:val="20"/>
          <w:shd w:val="clear" w:color="auto" w:fill="FFFFFF"/>
        </w:rPr>
        <w:t>Picomix</w:t>
      </w:r>
      <w:proofErr w:type="spellEnd"/>
      <w:r w:rsidR="009F0A59">
        <w:rPr>
          <w:rFonts w:cs="Arial"/>
          <w:color w:val="222222"/>
          <w:sz w:val="20"/>
          <w:shd w:val="clear" w:color="auto" w:fill="FFFFFF"/>
          <w:vertAlign w:val="superscript"/>
        </w:rPr>
        <w:t>®</w:t>
      </w:r>
      <w:r w:rsidR="009F0A59">
        <w:rPr>
          <w:rFonts w:cs="Arial"/>
          <w:color w:val="222222"/>
          <w:sz w:val="20"/>
          <w:shd w:val="clear" w:color="auto" w:fill="FFFFFF"/>
        </w:rPr>
        <w:t xml:space="preserve">, Hosokawa Alpine, Augsburg, Germany) </w:t>
      </w:r>
      <w:r w:rsidRPr="00D05045">
        <w:rPr>
          <w:sz w:val="20"/>
        </w:rPr>
        <w:t>was employed to generate binary powder blends. A combination of 2% API (</w:t>
      </w:r>
      <w:proofErr w:type="spellStart"/>
      <w:r w:rsidRPr="00D05045">
        <w:rPr>
          <w:sz w:val="20"/>
        </w:rPr>
        <w:t>glycopyrronium</w:t>
      </w:r>
      <w:proofErr w:type="spellEnd"/>
      <w:r w:rsidRPr="00D05045">
        <w:rPr>
          <w:sz w:val="20"/>
        </w:rPr>
        <w:t xml:space="preserve">) and the </w:t>
      </w:r>
      <w:r w:rsidR="002A298F">
        <w:rPr>
          <w:sz w:val="20"/>
        </w:rPr>
        <w:t>c</w:t>
      </w:r>
      <w:r w:rsidRPr="00D05045">
        <w:rPr>
          <w:sz w:val="20"/>
        </w:rPr>
        <w:t xml:space="preserve">arrier </w:t>
      </w:r>
      <w:r w:rsidR="00491B7C">
        <w:rPr>
          <w:sz w:val="20"/>
        </w:rPr>
        <w:t>(20</w:t>
      </w:r>
      <w:r w:rsidR="002A298F">
        <w:rPr>
          <w:sz w:val="20"/>
        </w:rPr>
        <w:t> </w:t>
      </w:r>
      <w:r w:rsidR="00491B7C">
        <w:rPr>
          <w:sz w:val="20"/>
        </w:rPr>
        <w:t xml:space="preserve">g) were </w:t>
      </w:r>
      <w:r w:rsidRPr="00D05045">
        <w:rPr>
          <w:sz w:val="20"/>
        </w:rPr>
        <w:t xml:space="preserve">weighed using the sandwich technique. The rotational speed was </w:t>
      </w:r>
      <w:r w:rsidR="00491B7C">
        <w:rPr>
          <w:sz w:val="20"/>
        </w:rPr>
        <w:t>set</w:t>
      </w:r>
      <w:r w:rsidRPr="00D05045">
        <w:rPr>
          <w:sz w:val="20"/>
        </w:rPr>
        <w:t xml:space="preserve"> to 500 </w:t>
      </w:r>
      <w:r w:rsidR="00491B7C">
        <w:rPr>
          <w:sz w:val="20"/>
        </w:rPr>
        <w:t>rpm</w:t>
      </w:r>
      <w:r w:rsidR="009F0A59">
        <w:rPr>
          <w:sz w:val="20"/>
        </w:rPr>
        <w:t xml:space="preserve"> </w:t>
      </w:r>
      <w:r w:rsidRPr="00D05045">
        <w:rPr>
          <w:sz w:val="20"/>
        </w:rPr>
        <w:t xml:space="preserve">and blending </w:t>
      </w:r>
      <w:r w:rsidR="002A298F">
        <w:rPr>
          <w:sz w:val="20"/>
        </w:rPr>
        <w:t xml:space="preserve">was performed </w:t>
      </w:r>
      <w:r w:rsidRPr="00D05045">
        <w:rPr>
          <w:sz w:val="20"/>
        </w:rPr>
        <w:t>for 15 minutes</w:t>
      </w:r>
      <w:r w:rsidR="002A298F">
        <w:rPr>
          <w:sz w:val="20"/>
        </w:rPr>
        <w:t xml:space="preserve"> in total</w:t>
      </w:r>
      <w:r w:rsidRPr="00D05045">
        <w:rPr>
          <w:sz w:val="20"/>
        </w:rPr>
        <w:t xml:space="preserve">. </w:t>
      </w:r>
      <w:r w:rsidRPr="00881AD8">
        <w:rPr>
          <w:sz w:val="20"/>
        </w:rPr>
        <w:t xml:space="preserve">Samples were </w:t>
      </w:r>
      <w:r w:rsidR="002A298F" w:rsidRPr="00881AD8">
        <w:rPr>
          <w:sz w:val="20"/>
        </w:rPr>
        <w:t>taken after</w:t>
      </w:r>
      <w:r w:rsidRPr="00881AD8">
        <w:rPr>
          <w:sz w:val="20"/>
        </w:rPr>
        <w:t xml:space="preserve"> 1, 3, 5, 7,</w:t>
      </w:r>
      <w:r w:rsidR="00491B7C" w:rsidRPr="00881AD8">
        <w:rPr>
          <w:sz w:val="20"/>
        </w:rPr>
        <w:t xml:space="preserve"> 10, </w:t>
      </w:r>
      <w:r w:rsidRPr="00881AD8">
        <w:rPr>
          <w:sz w:val="20"/>
        </w:rPr>
        <w:t xml:space="preserve">12, and 15 minutes to assess </w:t>
      </w:r>
      <w:r w:rsidR="002A298F" w:rsidRPr="00881AD8">
        <w:rPr>
          <w:sz w:val="20"/>
        </w:rPr>
        <w:t>blend homogeneity and aerodynamic performance</w:t>
      </w:r>
      <w:r w:rsidRPr="00881AD8">
        <w:rPr>
          <w:sz w:val="20"/>
        </w:rPr>
        <w:t>.</w:t>
      </w:r>
      <w:r w:rsidR="009F0A59" w:rsidRPr="00881AD8">
        <w:rPr>
          <w:sz w:val="20"/>
        </w:rPr>
        <w:t xml:space="preserve"> </w:t>
      </w:r>
      <w:proofErr w:type="spellStart"/>
      <w:r w:rsidR="00EA16F8" w:rsidRPr="00881AD8">
        <w:rPr>
          <w:sz w:val="20"/>
        </w:rPr>
        <w:t>Amorphisation</w:t>
      </w:r>
      <w:proofErr w:type="spellEnd"/>
      <w:r w:rsidR="00EA16F8" w:rsidRPr="00881AD8">
        <w:rPr>
          <w:sz w:val="20"/>
        </w:rPr>
        <w:t xml:space="preserve"> over time </w:t>
      </w:r>
      <w:r w:rsidR="00AA66AA">
        <w:rPr>
          <w:sz w:val="20"/>
        </w:rPr>
        <w:t>due</w:t>
      </w:r>
      <w:r w:rsidR="00EA16F8" w:rsidRPr="00881AD8">
        <w:rPr>
          <w:sz w:val="20"/>
        </w:rPr>
        <w:t xml:space="preserve"> to high energy input was </w:t>
      </w:r>
      <w:r w:rsidR="00EA16F8" w:rsidRPr="00881AD8">
        <w:rPr>
          <w:sz w:val="20"/>
        </w:rPr>
        <w:lastRenderedPageBreak/>
        <w:t xml:space="preserve">tested with InhaLac70 </w:t>
      </w:r>
      <w:r w:rsidR="00B13664" w:rsidRPr="00881AD8">
        <w:rPr>
          <w:sz w:val="20"/>
        </w:rPr>
        <w:t>(</w:t>
      </w:r>
      <w:proofErr w:type="spellStart"/>
      <w:r w:rsidR="00B13664" w:rsidRPr="00881AD8">
        <w:rPr>
          <w:sz w:val="20"/>
        </w:rPr>
        <w:t>Meggle</w:t>
      </w:r>
      <w:proofErr w:type="spellEnd"/>
      <w:r w:rsidR="00B13664" w:rsidRPr="00881AD8">
        <w:rPr>
          <w:sz w:val="20"/>
        </w:rPr>
        <w:t xml:space="preserve">, </w:t>
      </w:r>
      <w:proofErr w:type="spellStart"/>
      <w:r w:rsidR="00B13664" w:rsidRPr="00881AD8">
        <w:rPr>
          <w:sz w:val="20"/>
        </w:rPr>
        <w:t>Wasserburg</w:t>
      </w:r>
      <w:proofErr w:type="spellEnd"/>
      <w:r w:rsidR="00B13664" w:rsidRPr="00881AD8">
        <w:rPr>
          <w:sz w:val="20"/>
        </w:rPr>
        <w:t xml:space="preserve">, Germany) as </w:t>
      </w:r>
      <w:r w:rsidR="002A298F" w:rsidRPr="00881AD8">
        <w:rPr>
          <w:sz w:val="20"/>
        </w:rPr>
        <w:t>c</w:t>
      </w:r>
      <w:r w:rsidR="00B13664" w:rsidRPr="00881AD8">
        <w:rPr>
          <w:sz w:val="20"/>
        </w:rPr>
        <w:t xml:space="preserve">arrier </w:t>
      </w:r>
      <w:r w:rsidR="002A298F" w:rsidRPr="00881AD8">
        <w:rPr>
          <w:sz w:val="20"/>
        </w:rPr>
        <w:t>m</w:t>
      </w:r>
      <w:r w:rsidR="00B13664" w:rsidRPr="00881AD8">
        <w:rPr>
          <w:sz w:val="20"/>
        </w:rPr>
        <w:t>odel</w:t>
      </w:r>
      <w:r w:rsidR="00EA16F8" w:rsidRPr="00881AD8">
        <w:rPr>
          <w:sz w:val="20"/>
        </w:rPr>
        <w:t>. It was treated for 15 minutes at 1500 rpm using a</w:t>
      </w:r>
      <w:r w:rsidR="00491B7C" w:rsidRPr="00881AD8">
        <w:rPr>
          <w:sz w:val="20"/>
        </w:rPr>
        <w:t xml:space="preserve"> </w:t>
      </w:r>
      <w:r w:rsidR="002A298F" w:rsidRPr="00881AD8">
        <w:rPr>
          <w:sz w:val="20"/>
        </w:rPr>
        <w:t>h</w:t>
      </w:r>
      <w:r w:rsidR="00491B7C" w:rsidRPr="00881AD8">
        <w:rPr>
          <w:sz w:val="20"/>
        </w:rPr>
        <w:t xml:space="preserve">igh </w:t>
      </w:r>
      <w:r w:rsidR="002A298F" w:rsidRPr="00881AD8">
        <w:rPr>
          <w:sz w:val="20"/>
        </w:rPr>
        <w:t>s</w:t>
      </w:r>
      <w:r w:rsidR="00491B7C" w:rsidRPr="00881AD8">
        <w:rPr>
          <w:sz w:val="20"/>
        </w:rPr>
        <w:t xml:space="preserve">hear </w:t>
      </w:r>
      <w:r w:rsidR="002A298F" w:rsidRPr="00881AD8">
        <w:rPr>
          <w:sz w:val="20"/>
        </w:rPr>
        <w:t>m</w:t>
      </w:r>
      <w:r w:rsidR="00491B7C" w:rsidRPr="00881AD8">
        <w:rPr>
          <w:sz w:val="20"/>
        </w:rPr>
        <w:t>ixer</w:t>
      </w:r>
      <w:r w:rsidR="00881AD8">
        <w:rPr>
          <w:sz w:val="20"/>
        </w:rPr>
        <w:t>.</w:t>
      </w:r>
    </w:p>
    <w:p w14:paraId="15C2169A" w14:textId="767ADF37" w:rsidR="009F0A59" w:rsidRDefault="009F0A59" w:rsidP="004115AB">
      <w:pPr>
        <w:pStyle w:val="DDLBodyText"/>
        <w:spacing w:after="120"/>
        <w:rPr>
          <w:i/>
          <w:iCs/>
          <w:sz w:val="20"/>
        </w:rPr>
      </w:pPr>
      <w:r w:rsidRPr="009F0A59">
        <w:rPr>
          <w:i/>
          <w:iCs/>
          <w:sz w:val="20"/>
        </w:rPr>
        <w:t>Laser Diffraction</w:t>
      </w:r>
    </w:p>
    <w:p w14:paraId="372B7120" w14:textId="7E0840CB" w:rsidR="00491B7C" w:rsidRDefault="00491B7C" w:rsidP="004115AB">
      <w:pPr>
        <w:pStyle w:val="DDLBodyText"/>
        <w:spacing w:after="120"/>
        <w:rPr>
          <w:sz w:val="20"/>
        </w:rPr>
      </w:pPr>
      <w:r w:rsidRPr="00491B7C">
        <w:rPr>
          <w:sz w:val="20"/>
        </w:rPr>
        <w:t>Laser diffraction</w:t>
      </w:r>
      <w:r>
        <w:rPr>
          <w:sz w:val="20"/>
        </w:rPr>
        <w:t xml:space="preserve"> utili</w:t>
      </w:r>
      <w:r w:rsidR="002A298F">
        <w:rPr>
          <w:sz w:val="20"/>
        </w:rPr>
        <w:t>s</w:t>
      </w:r>
      <w:r>
        <w:rPr>
          <w:sz w:val="20"/>
        </w:rPr>
        <w:t xml:space="preserve">ing a </w:t>
      </w:r>
      <w:r w:rsidRPr="00491B7C">
        <w:rPr>
          <w:sz w:val="20"/>
        </w:rPr>
        <w:t>Helium Neon Laser Optical System (HELOS</w:t>
      </w:r>
      <w:r w:rsidRPr="00815E73">
        <w:rPr>
          <w:sz w:val="20"/>
          <w:vertAlign w:val="superscript"/>
        </w:rPr>
        <w:t>®</w:t>
      </w:r>
      <w:r w:rsidRPr="00491B7C">
        <w:rPr>
          <w:sz w:val="20"/>
        </w:rPr>
        <w:t xml:space="preserve">, </w:t>
      </w:r>
      <w:proofErr w:type="spellStart"/>
      <w:r w:rsidRPr="00491B7C">
        <w:rPr>
          <w:sz w:val="20"/>
        </w:rPr>
        <w:t>Sympatec</w:t>
      </w:r>
      <w:proofErr w:type="spellEnd"/>
      <w:r w:rsidRPr="00491B7C">
        <w:rPr>
          <w:sz w:val="20"/>
        </w:rPr>
        <w:t xml:space="preserve"> GmbH, </w:t>
      </w:r>
      <w:proofErr w:type="spellStart"/>
      <w:r w:rsidRPr="00491B7C">
        <w:rPr>
          <w:sz w:val="20"/>
        </w:rPr>
        <w:t>Clausthal-Zellerfeld</w:t>
      </w:r>
      <w:proofErr w:type="spellEnd"/>
      <w:r w:rsidRPr="00491B7C">
        <w:rPr>
          <w:sz w:val="20"/>
        </w:rPr>
        <w:t xml:space="preserve">, Germany) served as a method for determination of </w:t>
      </w:r>
      <w:r w:rsidR="002A298F">
        <w:rPr>
          <w:sz w:val="20"/>
        </w:rPr>
        <w:t>the fraction of particles &lt; 5 µm</w:t>
      </w:r>
      <w:r w:rsidRPr="00491B7C">
        <w:rPr>
          <w:sz w:val="20"/>
        </w:rPr>
        <w:t xml:space="preserve"> of </w:t>
      </w:r>
      <w:r w:rsidR="002A298F">
        <w:rPr>
          <w:sz w:val="20"/>
        </w:rPr>
        <w:t xml:space="preserve">the </w:t>
      </w:r>
      <w:r w:rsidRPr="00491B7C">
        <w:rPr>
          <w:sz w:val="20"/>
        </w:rPr>
        <w:t xml:space="preserve">interactive blends. </w:t>
      </w:r>
      <w:r>
        <w:rPr>
          <w:sz w:val="20"/>
        </w:rPr>
        <w:t>For</w:t>
      </w:r>
      <w:r w:rsidR="002A298F">
        <w:rPr>
          <w:sz w:val="20"/>
        </w:rPr>
        <w:t xml:space="preserve"> this</w:t>
      </w:r>
      <w:r w:rsidRPr="00491B7C">
        <w:rPr>
          <w:sz w:val="20"/>
        </w:rPr>
        <w:t xml:space="preserve">, the INHALER module was used. A pressure drop of 4kPa was set </w:t>
      </w:r>
      <w:r>
        <w:rPr>
          <w:sz w:val="20"/>
        </w:rPr>
        <w:t>and t</w:t>
      </w:r>
      <w:r w:rsidRPr="00491B7C">
        <w:rPr>
          <w:sz w:val="20"/>
        </w:rPr>
        <w:t xml:space="preserve">he </w:t>
      </w:r>
      <w:proofErr w:type="spellStart"/>
      <w:r w:rsidRPr="00491B7C">
        <w:rPr>
          <w:sz w:val="20"/>
        </w:rPr>
        <w:t>Novolizer</w:t>
      </w:r>
      <w:proofErr w:type="spellEnd"/>
      <w:r w:rsidRPr="00491B7C">
        <w:rPr>
          <w:sz w:val="20"/>
        </w:rPr>
        <w:t xml:space="preserve"> </w:t>
      </w:r>
      <w:r>
        <w:rPr>
          <w:sz w:val="20"/>
        </w:rPr>
        <w:t>served as the inhaler device</w:t>
      </w:r>
      <w:r w:rsidRPr="00491B7C">
        <w:rPr>
          <w:sz w:val="20"/>
        </w:rPr>
        <w:t xml:space="preserve">. </w:t>
      </w:r>
      <w:r>
        <w:rPr>
          <w:sz w:val="20"/>
        </w:rPr>
        <w:t xml:space="preserve">All </w:t>
      </w:r>
      <w:r w:rsidR="002A298F">
        <w:rPr>
          <w:sz w:val="20"/>
        </w:rPr>
        <w:t>m</w:t>
      </w:r>
      <w:r>
        <w:rPr>
          <w:sz w:val="20"/>
        </w:rPr>
        <w:t xml:space="preserve">easurements </w:t>
      </w:r>
      <w:r w:rsidR="00413A2A">
        <w:rPr>
          <w:sz w:val="20"/>
        </w:rPr>
        <w:t xml:space="preserve">using the INHALER module </w:t>
      </w:r>
      <w:r>
        <w:rPr>
          <w:sz w:val="20"/>
        </w:rPr>
        <w:t xml:space="preserve">were conducted using the R2 lens. </w:t>
      </w:r>
      <w:r w:rsidRPr="00491B7C">
        <w:rPr>
          <w:sz w:val="20"/>
        </w:rPr>
        <w:t xml:space="preserve">Fraunhofer theory was used </w:t>
      </w:r>
      <w:r w:rsidR="00815E73">
        <w:rPr>
          <w:sz w:val="20"/>
        </w:rPr>
        <w:t xml:space="preserve">to calculate mean of particle sizes. </w:t>
      </w:r>
      <w:r w:rsidR="004401A0" w:rsidRPr="004401A0">
        <w:rPr>
          <w:sz w:val="20"/>
        </w:rPr>
        <w:t xml:space="preserve">The </w:t>
      </w:r>
      <w:r w:rsidR="004401A0">
        <w:rPr>
          <w:sz w:val="20"/>
        </w:rPr>
        <w:t>RODOS</w:t>
      </w:r>
      <w:r w:rsidR="004401A0" w:rsidRPr="004401A0">
        <w:rPr>
          <w:sz w:val="20"/>
        </w:rPr>
        <w:t xml:space="preserve"> unit was used to determine the carrier size and a dispersion pressure of </w:t>
      </w:r>
      <w:r w:rsidR="004401A0">
        <w:rPr>
          <w:sz w:val="20"/>
        </w:rPr>
        <w:t>3</w:t>
      </w:r>
      <w:r w:rsidR="004401A0" w:rsidRPr="004401A0">
        <w:rPr>
          <w:sz w:val="20"/>
        </w:rPr>
        <w:t xml:space="preserve"> bar was applied</w:t>
      </w:r>
      <w:r w:rsidR="004401A0">
        <w:rPr>
          <w:sz w:val="20"/>
        </w:rPr>
        <w:t>.</w:t>
      </w:r>
      <w:r w:rsidR="004401A0" w:rsidRPr="004401A0">
        <w:t xml:space="preserve"> </w:t>
      </w:r>
      <w:r w:rsidR="004401A0" w:rsidRPr="004401A0">
        <w:rPr>
          <w:sz w:val="20"/>
        </w:rPr>
        <w:t xml:space="preserve">The </w:t>
      </w:r>
      <w:r w:rsidR="004401A0">
        <w:rPr>
          <w:sz w:val="20"/>
        </w:rPr>
        <w:t>VIBRI</w:t>
      </w:r>
      <w:r w:rsidR="004401A0" w:rsidRPr="004401A0">
        <w:rPr>
          <w:sz w:val="20"/>
        </w:rPr>
        <w:t xml:space="preserve"> unit was used for feeding and the R5 lens for measurement.</w:t>
      </w:r>
      <w:r w:rsidR="00BC446A">
        <w:rPr>
          <w:sz w:val="20"/>
        </w:rPr>
        <w:t xml:space="preserve"> Measurements were conducted in triplicates.</w:t>
      </w:r>
    </w:p>
    <w:p w14:paraId="187E53C3" w14:textId="5C8622A3" w:rsidR="001D3F96" w:rsidRPr="00BD6660" w:rsidRDefault="001D3F96" w:rsidP="004115AB">
      <w:pPr>
        <w:pStyle w:val="DDLBodyText"/>
        <w:spacing w:after="120"/>
        <w:rPr>
          <w:i/>
          <w:iCs/>
          <w:sz w:val="20"/>
        </w:rPr>
      </w:pPr>
      <w:r w:rsidRPr="00BD6660">
        <w:rPr>
          <w:i/>
          <w:iCs/>
          <w:sz w:val="20"/>
        </w:rPr>
        <w:t>Film preparation</w:t>
      </w:r>
    </w:p>
    <w:p w14:paraId="7EEEEEDC" w14:textId="0467674E" w:rsidR="00BD6660" w:rsidRDefault="00BD6660" w:rsidP="004115AB">
      <w:pPr>
        <w:pStyle w:val="DDLBodyText"/>
        <w:spacing w:after="120"/>
        <w:rPr>
          <w:sz w:val="20"/>
        </w:rPr>
      </w:pPr>
      <w:r w:rsidRPr="00BD6660">
        <w:rPr>
          <w:sz w:val="20"/>
        </w:rPr>
        <w:t xml:space="preserve">A film possessing an identical composition to that of the microspheres was fabricated </w:t>
      </w:r>
      <w:r w:rsidR="002A298F">
        <w:rPr>
          <w:sz w:val="20"/>
        </w:rPr>
        <w:t>by solvent casting the same components in methanol</w:t>
      </w:r>
      <w:r w:rsidRPr="00BD6660">
        <w:rPr>
          <w:sz w:val="20"/>
        </w:rPr>
        <w:t>. The resulting viscous dispersion was uniformly spread</w:t>
      </w:r>
      <w:r w:rsidR="00815E73">
        <w:rPr>
          <w:sz w:val="20"/>
        </w:rPr>
        <w:t xml:space="preserve"> across a non-cohesive surface utilising a scraper</w:t>
      </w:r>
      <w:r w:rsidRPr="00BD6660">
        <w:rPr>
          <w:sz w:val="20"/>
        </w:rPr>
        <w:t xml:space="preserve"> and a predetermined thickness of 0.5 mm was </w:t>
      </w:r>
      <w:r w:rsidR="00815E73">
        <w:rPr>
          <w:sz w:val="20"/>
        </w:rPr>
        <w:t>confirmed</w:t>
      </w:r>
      <w:r w:rsidRPr="00BD6660">
        <w:rPr>
          <w:sz w:val="20"/>
        </w:rPr>
        <w:t xml:space="preserve"> by a gauge. Following a drying period of 24 hours under standard laboratory conditions, the film was ready for subsequent examination and analysis.</w:t>
      </w:r>
      <w:r w:rsidR="00544E0B">
        <w:rPr>
          <w:sz w:val="20"/>
        </w:rPr>
        <w:t xml:space="preserve"> </w:t>
      </w:r>
    </w:p>
    <w:p w14:paraId="7B8BFD4A" w14:textId="0B3AE000" w:rsidR="009F0A59" w:rsidRPr="00B13664" w:rsidRDefault="009F0A59" w:rsidP="004115AB">
      <w:pPr>
        <w:pStyle w:val="DDLBodyText"/>
        <w:spacing w:after="120"/>
        <w:rPr>
          <w:i/>
          <w:iCs/>
          <w:sz w:val="20"/>
        </w:rPr>
      </w:pPr>
      <w:r w:rsidRPr="00B13664">
        <w:rPr>
          <w:i/>
          <w:iCs/>
          <w:sz w:val="20"/>
        </w:rPr>
        <w:t>Texture Analysis</w:t>
      </w:r>
    </w:p>
    <w:p w14:paraId="76564517" w14:textId="428B3BA6" w:rsidR="00BD6660" w:rsidRDefault="00B13664" w:rsidP="004115AB">
      <w:pPr>
        <w:pStyle w:val="DDLBodyText"/>
        <w:spacing w:after="120"/>
        <w:rPr>
          <w:sz w:val="20"/>
        </w:rPr>
      </w:pPr>
      <w:r w:rsidRPr="00B13664">
        <w:rPr>
          <w:sz w:val="20"/>
        </w:rPr>
        <w:t>The Textu</w:t>
      </w:r>
      <w:r w:rsidR="00A666CE">
        <w:rPr>
          <w:sz w:val="20"/>
        </w:rPr>
        <w:t>re</w:t>
      </w:r>
      <w:r w:rsidRPr="00B13664">
        <w:rPr>
          <w:sz w:val="20"/>
        </w:rPr>
        <w:t xml:space="preserve"> analy</w:t>
      </w:r>
      <w:r>
        <w:rPr>
          <w:sz w:val="20"/>
        </w:rPr>
        <w:t xml:space="preserve">ser </w:t>
      </w:r>
      <w:proofErr w:type="spellStart"/>
      <w:r>
        <w:rPr>
          <w:sz w:val="20"/>
        </w:rPr>
        <w:t>TA.</w:t>
      </w:r>
      <w:proofErr w:type="gramStart"/>
      <w:r>
        <w:rPr>
          <w:sz w:val="20"/>
        </w:rPr>
        <w:t>XT.plus</w:t>
      </w:r>
      <w:proofErr w:type="spellEnd"/>
      <w:proofErr w:type="gramEnd"/>
      <w:r>
        <w:rPr>
          <w:sz w:val="20"/>
        </w:rPr>
        <w:t xml:space="preserve"> </w:t>
      </w:r>
      <w:r w:rsidR="00F423EA">
        <w:rPr>
          <w:sz w:val="20"/>
        </w:rPr>
        <w:t>(Stable Micro Systems, Godalming, United Kingdom)</w:t>
      </w:r>
      <w:r w:rsidRPr="00B13664">
        <w:rPr>
          <w:sz w:val="20"/>
        </w:rPr>
        <w:t xml:space="preserve"> was used to </w:t>
      </w:r>
      <w:r w:rsidR="00F423EA">
        <w:rPr>
          <w:sz w:val="20"/>
        </w:rPr>
        <w:t>determine</w:t>
      </w:r>
      <w:r w:rsidRPr="00B13664">
        <w:rPr>
          <w:sz w:val="20"/>
        </w:rPr>
        <w:t xml:space="preserve"> the </w:t>
      </w:r>
      <w:r w:rsidR="00A666CE">
        <w:rPr>
          <w:sz w:val="20"/>
        </w:rPr>
        <w:t>Y</w:t>
      </w:r>
      <w:r w:rsidRPr="00B13664">
        <w:rPr>
          <w:sz w:val="20"/>
        </w:rPr>
        <w:t xml:space="preserve">oung's modulus of the prepared films under tensile stress. A test velocity of 1mm/s was </w:t>
      </w:r>
      <w:proofErr w:type="gramStart"/>
      <w:r w:rsidRPr="00B13664">
        <w:rPr>
          <w:sz w:val="20"/>
        </w:rPr>
        <w:t>applied</w:t>
      </w:r>
      <w:proofErr w:type="gramEnd"/>
      <w:r w:rsidRPr="00B13664">
        <w:rPr>
          <w:sz w:val="20"/>
        </w:rPr>
        <w:t xml:space="preserve"> and the </w:t>
      </w:r>
      <w:r w:rsidR="00B44DF3">
        <w:rPr>
          <w:sz w:val="20"/>
        </w:rPr>
        <w:t xml:space="preserve">Young’s </w:t>
      </w:r>
      <w:r w:rsidRPr="00B13664">
        <w:rPr>
          <w:sz w:val="20"/>
        </w:rPr>
        <w:t>modulus was determined from the linear, ideal-elastic part of the stress-strain diagram via the slope of this same section. Films with a length of 4</w:t>
      </w:r>
      <w:r w:rsidR="00A666CE">
        <w:rPr>
          <w:sz w:val="20"/>
        </w:rPr>
        <w:t> </w:t>
      </w:r>
      <w:r w:rsidRPr="00B13664">
        <w:rPr>
          <w:sz w:val="20"/>
        </w:rPr>
        <w:t>cm and a width of 1.2</w:t>
      </w:r>
      <w:r w:rsidR="00A666CE">
        <w:rPr>
          <w:sz w:val="20"/>
        </w:rPr>
        <w:t> </w:t>
      </w:r>
      <w:r w:rsidRPr="00B13664">
        <w:rPr>
          <w:sz w:val="20"/>
        </w:rPr>
        <w:t>cm were prepared for the test.</w:t>
      </w:r>
      <w:r w:rsidR="00491B7C">
        <w:rPr>
          <w:sz w:val="20"/>
        </w:rPr>
        <w:t xml:space="preserve"> Measurements were conducted in triplicates.</w:t>
      </w:r>
    </w:p>
    <w:p w14:paraId="7290267D" w14:textId="3D071D0A" w:rsidR="00BD6660" w:rsidRDefault="00B13664" w:rsidP="004115AB">
      <w:pPr>
        <w:pStyle w:val="DDLBodyText"/>
        <w:spacing w:after="120"/>
        <w:rPr>
          <w:i/>
          <w:iCs/>
          <w:sz w:val="20"/>
        </w:rPr>
      </w:pPr>
      <w:r w:rsidRPr="00B13664">
        <w:rPr>
          <w:i/>
          <w:iCs/>
          <w:sz w:val="20"/>
        </w:rPr>
        <w:t>Raman Microscopy</w:t>
      </w:r>
    </w:p>
    <w:p w14:paraId="180FD677" w14:textId="7D997C75" w:rsidR="00BD6660" w:rsidRDefault="00491B7C" w:rsidP="004115AB">
      <w:pPr>
        <w:pStyle w:val="DDLBodyText"/>
        <w:spacing w:after="120"/>
        <w:rPr>
          <w:sz w:val="20"/>
        </w:rPr>
      </w:pPr>
      <w:r w:rsidRPr="00491B7C">
        <w:rPr>
          <w:sz w:val="20"/>
        </w:rPr>
        <w:t>Confocal</w:t>
      </w:r>
      <w:r>
        <w:rPr>
          <w:sz w:val="20"/>
        </w:rPr>
        <w:t xml:space="preserve"> </w:t>
      </w:r>
      <w:proofErr w:type="spellStart"/>
      <w:r>
        <w:rPr>
          <w:sz w:val="20"/>
        </w:rPr>
        <w:t>lense</w:t>
      </w:r>
      <w:proofErr w:type="spellEnd"/>
      <w:r w:rsidRPr="00491B7C">
        <w:rPr>
          <w:sz w:val="20"/>
        </w:rPr>
        <w:t xml:space="preserve"> </w:t>
      </w:r>
      <w:proofErr w:type="spellStart"/>
      <w:r w:rsidRPr="00491B7C">
        <w:rPr>
          <w:sz w:val="20"/>
        </w:rPr>
        <w:t>raman</w:t>
      </w:r>
      <w:proofErr w:type="spellEnd"/>
      <w:r w:rsidRPr="00491B7C">
        <w:rPr>
          <w:sz w:val="20"/>
        </w:rPr>
        <w:t xml:space="preserve"> microscopy (HORIBA SCIENTIFIC, Kyoto, Japan) with a 532</w:t>
      </w:r>
      <w:r w:rsidR="009F0253">
        <w:rPr>
          <w:sz w:val="20"/>
        </w:rPr>
        <w:t> </w:t>
      </w:r>
      <w:r w:rsidRPr="00491B7C">
        <w:rPr>
          <w:sz w:val="20"/>
        </w:rPr>
        <w:t xml:space="preserve">nm excitation laser was used to study the surface </w:t>
      </w:r>
      <w:r w:rsidR="00815E73" w:rsidRPr="00491B7C">
        <w:rPr>
          <w:sz w:val="20"/>
        </w:rPr>
        <w:t>amorphi</w:t>
      </w:r>
      <w:r w:rsidR="00815E73">
        <w:rPr>
          <w:sz w:val="20"/>
        </w:rPr>
        <w:t>z</w:t>
      </w:r>
      <w:r w:rsidR="00815E73" w:rsidRPr="00491B7C">
        <w:rPr>
          <w:sz w:val="20"/>
        </w:rPr>
        <w:t>ation</w:t>
      </w:r>
      <w:r w:rsidRPr="00491B7C">
        <w:rPr>
          <w:sz w:val="20"/>
        </w:rPr>
        <w:t xml:space="preserve"> of the lactose carrier under high shear mixing.</w:t>
      </w:r>
      <w:r>
        <w:rPr>
          <w:sz w:val="20"/>
        </w:rPr>
        <w:t xml:space="preserve"> A</w:t>
      </w:r>
      <w:r w:rsidRPr="00491B7C">
        <w:rPr>
          <w:sz w:val="20"/>
        </w:rPr>
        <w:t xml:space="preserve">n acquisition time of </w:t>
      </w:r>
      <w:r>
        <w:rPr>
          <w:sz w:val="20"/>
        </w:rPr>
        <w:t>1</w:t>
      </w:r>
      <w:r w:rsidR="00A666CE">
        <w:rPr>
          <w:sz w:val="20"/>
        </w:rPr>
        <w:t> </w:t>
      </w:r>
      <w:r>
        <w:rPr>
          <w:sz w:val="20"/>
        </w:rPr>
        <w:t>s</w:t>
      </w:r>
      <w:r w:rsidRPr="00491B7C">
        <w:rPr>
          <w:sz w:val="20"/>
        </w:rPr>
        <w:t xml:space="preserve"> was </w:t>
      </w:r>
      <w:r w:rsidR="009F0253">
        <w:rPr>
          <w:sz w:val="20"/>
        </w:rPr>
        <w:t>used</w:t>
      </w:r>
      <w:r w:rsidR="009F0253" w:rsidRPr="00491B7C">
        <w:rPr>
          <w:sz w:val="20"/>
        </w:rPr>
        <w:t xml:space="preserve"> </w:t>
      </w:r>
      <w:r w:rsidRPr="00491B7C">
        <w:rPr>
          <w:sz w:val="20"/>
        </w:rPr>
        <w:t>with 2</w:t>
      </w:r>
      <w:r>
        <w:rPr>
          <w:sz w:val="20"/>
        </w:rPr>
        <w:t xml:space="preserve"> </w:t>
      </w:r>
      <w:r w:rsidRPr="00491B7C">
        <w:rPr>
          <w:sz w:val="20"/>
        </w:rPr>
        <w:t>accumulations. The lens with 50x magnification was selected to acquire the image.</w:t>
      </w:r>
      <w:r>
        <w:rPr>
          <w:sz w:val="20"/>
        </w:rPr>
        <w:t xml:space="preserve"> </w:t>
      </w:r>
      <w:r w:rsidRPr="00491B7C">
        <w:rPr>
          <w:sz w:val="20"/>
        </w:rPr>
        <w:t>The database was fed with a spray-dried amorphous lactose reference. In addition, references of the different crystal facets of the Tomahawk lactose crystal were included and used for evaluation.</w:t>
      </w:r>
    </w:p>
    <w:p w14:paraId="10C9E115" w14:textId="2750C4AE" w:rsidR="00491B7C" w:rsidRPr="00491B7C" w:rsidRDefault="00491B7C" w:rsidP="004115AB">
      <w:pPr>
        <w:pStyle w:val="DDLBodyText"/>
        <w:spacing w:after="120"/>
        <w:rPr>
          <w:i/>
          <w:iCs/>
          <w:sz w:val="20"/>
        </w:rPr>
      </w:pPr>
      <w:r w:rsidRPr="00491B7C">
        <w:rPr>
          <w:i/>
          <w:iCs/>
          <w:sz w:val="20"/>
        </w:rPr>
        <w:t>Scanning Electron Microscopy</w:t>
      </w:r>
    </w:p>
    <w:p w14:paraId="55DB3F60" w14:textId="425CF892" w:rsidR="00491B7C" w:rsidRDefault="00491B7C" w:rsidP="004115AB">
      <w:pPr>
        <w:pStyle w:val="DDLBodyText"/>
        <w:spacing w:after="120"/>
        <w:rPr>
          <w:sz w:val="20"/>
        </w:rPr>
      </w:pPr>
      <w:r w:rsidRPr="00491B7C">
        <w:rPr>
          <w:sz w:val="20"/>
        </w:rPr>
        <w:t>Particle morphology imaging was performed utili</w:t>
      </w:r>
      <w:r w:rsidR="00A666CE">
        <w:rPr>
          <w:sz w:val="20"/>
        </w:rPr>
        <w:t>s</w:t>
      </w:r>
      <w:r w:rsidRPr="00491B7C">
        <w:rPr>
          <w:sz w:val="20"/>
        </w:rPr>
        <w:t>ing scanning electron microscopy (SEM</w:t>
      </w:r>
      <w:r w:rsidR="00A666CE">
        <w:rPr>
          <w:sz w:val="20"/>
        </w:rPr>
        <w:t xml:space="preserve">, </w:t>
      </w:r>
      <w:r w:rsidRPr="00491B7C">
        <w:rPr>
          <w:sz w:val="20"/>
        </w:rPr>
        <w:t>Phenom XL</w:t>
      </w:r>
      <w:r w:rsidR="00A666CE">
        <w:rPr>
          <w:sz w:val="20"/>
        </w:rPr>
        <w:t xml:space="preserve">, </w:t>
      </w:r>
      <w:r w:rsidRPr="00491B7C">
        <w:rPr>
          <w:sz w:val="20"/>
        </w:rPr>
        <w:t xml:space="preserve">Phenom-World BV, Eindhoven, The Netherlands). </w:t>
      </w:r>
      <w:r w:rsidR="00A666CE">
        <w:rPr>
          <w:sz w:val="20"/>
        </w:rPr>
        <w:t>T</w:t>
      </w:r>
      <w:r w:rsidRPr="00491B7C">
        <w:rPr>
          <w:sz w:val="20"/>
        </w:rPr>
        <w:t>he samples were affixed onto carbon stickers and subsequently gold-sputtered using the BAL-Tec SCP 050 Sputter Coater (</w:t>
      </w:r>
      <w:r w:rsidR="00815E73">
        <w:rPr>
          <w:sz w:val="20"/>
        </w:rPr>
        <w:t>Bal-Tec, Liechtenstein</w:t>
      </w:r>
      <w:r w:rsidRPr="00491B7C">
        <w:rPr>
          <w:sz w:val="20"/>
        </w:rPr>
        <w:t>). The acquired images were captured employing an acceleration voltage of 10 kV and a backscatter detector.</w:t>
      </w:r>
    </w:p>
    <w:p w14:paraId="5A32C444" w14:textId="0C88C13B" w:rsidR="00BD6660" w:rsidRDefault="00BD6660" w:rsidP="004115AB">
      <w:pPr>
        <w:pStyle w:val="DDLBodyText"/>
        <w:spacing w:after="120"/>
        <w:rPr>
          <w:b/>
          <w:bCs/>
          <w:sz w:val="20"/>
        </w:rPr>
      </w:pPr>
      <w:r w:rsidRPr="00491B7C">
        <w:rPr>
          <w:b/>
          <w:bCs/>
          <w:sz w:val="20"/>
        </w:rPr>
        <w:t>Results</w:t>
      </w:r>
    </w:p>
    <w:p w14:paraId="16874FD9" w14:textId="3162291E" w:rsidR="00491B7C" w:rsidRDefault="00491B7C" w:rsidP="004115AB">
      <w:pPr>
        <w:pStyle w:val="DDLBodyText"/>
        <w:spacing w:after="120"/>
        <w:rPr>
          <w:sz w:val="20"/>
        </w:rPr>
      </w:pPr>
      <w:r w:rsidRPr="00491B7C">
        <w:rPr>
          <w:sz w:val="20"/>
        </w:rPr>
        <w:t>Three different formulations with different percentages of PEG (0%, 10% and 25%) were generated</w:t>
      </w:r>
      <w:r w:rsidR="00BB62D3">
        <w:rPr>
          <w:sz w:val="20"/>
        </w:rPr>
        <w:t>.</w:t>
      </w:r>
      <w:r w:rsidRPr="00491B7C">
        <w:rPr>
          <w:sz w:val="20"/>
        </w:rPr>
        <w:t xml:space="preserve"> </w:t>
      </w:r>
      <w:r>
        <w:rPr>
          <w:sz w:val="20"/>
        </w:rPr>
        <w:t xml:space="preserve">Representative SEM images of the formulations are depicted in </w:t>
      </w:r>
      <w:r w:rsidR="009F0253">
        <w:rPr>
          <w:sz w:val="20"/>
        </w:rPr>
        <w:t xml:space="preserve">Figure </w:t>
      </w:r>
      <w:r w:rsidR="00815E73">
        <w:rPr>
          <w:sz w:val="20"/>
        </w:rPr>
        <w:t>1</w:t>
      </w:r>
      <w:r w:rsidR="009F0253">
        <w:rPr>
          <w:sz w:val="20"/>
        </w:rPr>
        <w:t>.</w:t>
      </w:r>
      <w:r w:rsidR="000E76EC">
        <w:rPr>
          <w:sz w:val="20"/>
        </w:rPr>
        <w:t xml:space="preserve"> F1, F2 and F3 refer to increasing PEG content of produced microspheres.</w:t>
      </w:r>
      <w:r w:rsidR="00413A2A">
        <w:rPr>
          <w:sz w:val="20"/>
        </w:rPr>
        <w:t xml:space="preserve"> Laser Diffraction confirmed no relevant differences in PSD of batches with varying PEG content</w:t>
      </w:r>
      <w:r w:rsidR="00B35874">
        <w:rPr>
          <w:sz w:val="20"/>
        </w:rPr>
        <w:t>.</w:t>
      </w:r>
      <w:r w:rsidR="00AA66AA" w:rsidRPr="00AA66AA">
        <w:t xml:space="preserve"> </w:t>
      </w:r>
      <w:r w:rsidR="00AA66AA">
        <w:rPr>
          <w:sz w:val="20"/>
        </w:rPr>
        <w:t>F</w:t>
      </w:r>
      <w:r w:rsidR="00AA66AA" w:rsidRPr="00AA66AA">
        <w:rPr>
          <w:sz w:val="20"/>
        </w:rPr>
        <w:t xml:space="preserve">or the sake of completeness, the particle size distribution of the API is also listed in </w:t>
      </w:r>
      <w:r w:rsidR="004115AB">
        <w:rPr>
          <w:sz w:val="20"/>
        </w:rPr>
        <w:t>Table 1</w:t>
      </w:r>
      <w:r w:rsidR="00AA66AA" w:rsidRPr="00AA66AA">
        <w:rPr>
          <w:sz w:val="20"/>
        </w:rPr>
        <w:t>.</w:t>
      </w:r>
    </w:p>
    <w:p w14:paraId="1DD02E61" w14:textId="63869B71" w:rsidR="004115AB" w:rsidRDefault="004115AB" w:rsidP="004115AB">
      <w:pPr>
        <w:pStyle w:val="DDLBodyText"/>
        <w:spacing w:after="0"/>
        <w:rPr>
          <w:sz w:val="20"/>
        </w:rPr>
      </w:pPr>
      <w:r>
        <w:rPr>
          <w:sz w:val="20"/>
        </w:rPr>
        <w:t>Microspheres</w:t>
      </w:r>
      <w:r w:rsidRPr="00491B7C">
        <w:rPr>
          <w:sz w:val="20"/>
        </w:rPr>
        <w:t xml:space="preserve"> were used to generate films that were successfully analy</w:t>
      </w:r>
      <w:r>
        <w:rPr>
          <w:sz w:val="20"/>
        </w:rPr>
        <w:t>s</w:t>
      </w:r>
      <w:r w:rsidRPr="00491B7C">
        <w:rPr>
          <w:sz w:val="20"/>
        </w:rPr>
        <w:t>ed in the Texture Analyzer for their deformation behavio</w:t>
      </w:r>
      <w:r>
        <w:rPr>
          <w:sz w:val="20"/>
        </w:rPr>
        <w:t>u</w:t>
      </w:r>
      <w:r w:rsidRPr="00491B7C">
        <w:rPr>
          <w:sz w:val="20"/>
        </w:rPr>
        <w:t>r under tensile stress. The respective Young's moduli for formulation 1</w:t>
      </w:r>
      <w:r>
        <w:rPr>
          <w:sz w:val="20"/>
        </w:rPr>
        <w:t xml:space="preserve"> (F1)</w:t>
      </w:r>
      <w:r w:rsidRPr="00491B7C">
        <w:rPr>
          <w:sz w:val="20"/>
        </w:rPr>
        <w:t>,</w:t>
      </w:r>
      <w:r>
        <w:rPr>
          <w:sz w:val="20"/>
        </w:rPr>
        <w:t xml:space="preserve"> </w:t>
      </w:r>
      <w:r w:rsidRPr="00491B7C">
        <w:rPr>
          <w:sz w:val="20"/>
        </w:rPr>
        <w:t>2</w:t>
      </w:r>
      <w:r>
        <w:rPr>
          <w:sz w:val="20"/>
        </w:rPr>
        <w:t>(F2)</w:t>
      </w:r>
      <w:r w:rsidRPr="00491B7C">
        <w:rPr>
          <w:sz w:val="20"/>
        </w:rPr>
        <w:t xml:space="preserve"> and 3</w:t>
      </w:r>
      <w:r>
        <w:rPr>
          <w:sz w:val="20"/>
        </w:rPr>
        <w:t>(F3)</w:t>
      </w:r>
      <w:r w:rsidRPr="00491B7C">
        <w:rPr>
          <w:sz w:val="20"/>
        </w:rPr>
        <w:t xml:space="preserve"> are 621.3</w:t>
      </w:r>
      <w:r>
        <w:rPr>
          <w:sz w:val="20"/>
        </w:rPr>
        <w:t xml:space="preserve"> </w:t>
      </w:r>
      <w:r>
        <w:rPr>
          <w:rFonts w:cs="Arial"/>
          <w:sz w:val="20"/>
        </w:rPr>
        <w:t xml:space="preserve">± </w:t>
      </w:r>
      <w:r w:rsidRPr="00491B7C">
        <w:rPr>
          <w:sz w:val="20"/>
        </w:rPr>
        <w:t>44.12</w:t>
      </w:r>
      <w:r>
        <w:rPr>
          <w:sz w:val="20"/>
        </w:rPr>
        <w:t> </w:t>
      </w:r>
      <w:r w:rsidRPr="00491B7C">
        <w:rPr>
          <w:sz w:val="20"/>
        </w:rPr>
        <w:t>MPa, 188.2</w:t>
      </w:r>
      <w:r>
        <w:rPr>
          <w:sz w:val="20"/>
        </w:rPr>
        <w:t> </w:t>
      </w:r>
      <w:r w:rsidRPr="00491B7C">
        <w:rPr>
          <w:sz w:val="20"/>
        </w:rPr>
        <w:t>M</w:t>
      </w:r>
      <w:r>
        <w:rPr>
          <w:sz w:val="20"/>
        </w:rPr>
        <w:t>P</w:t>
      </w:r>
      <w:r w:rsidRPr="00491B7C">
        <w:rPr>
          <w:sz w:val="20"/>
        </w:rPr>
        <w:t>a</w:t>
      </w:r>
      <w:r>
        <w:rPr>
          <w:sz w:val="20"/>
        </w:rPr>
        <w:t> </w:t>
      </w:r>
      <w:r>
        <w:rPr>
          <w:rFonts w:cs="Arial"/>
          <w:sz w:val="20"/>
        </w:rPr>
        <w:t>± </w:t>
      </w:r>
      <w:r w:rsidRPr="00491B7C">
        <w:rPr>
          <w:sz w:val="20"/>
        </w:rPr>
        <w:t>17.1 and 3.1</w:t>
      </w:r>
      <w:r>
        <w:rPr>
          <w:sz w:val="20"/>
        </w:rPr>
        <w:t> </w:t>
      </w:r>
      <w:r w:rsidRPr="00491B7C">
        <w:rPr>
          <w:sz w:val="20"/>
        </w:rPr>
        <w:t>M</w:t>
      </w:r>
      <w:r>
        <w:rPr>
          <w:sz w:val="20"/>
        </w:rPr>
        <w:t>P</w:t>
      </w:r>
      <w:r w:rsidRPr="00491B7C">
        <w:rPr>
          <w:sz w:val="20"/>
        </w:rPr>
        <w:t>a</w:t>
      </w:r>
      <w:r>
        <w:rPr>
          <w:sz w:val="20"/>
        </w:rPr>
        <w:t> </w:t>
      </w:r>
      <w:r>
        <w:rPr>
          <w:rFonts w:cs="Arial"/>
          <w:sz w:val="20"/>
        </w:rPr>
        <w:t>± </w:t>
      </w:r>
      <w:r w:rsidRPr="00491B7C">
        <w:rPr>
          <w:sz w:val="20"/>
        </w:rPr>
        <w:t>0.7</w:t>
      </w:r>
      <w:r>
        <w:rPr>
          <w:sz w:val="20"/>
        </w:rPr>
        <w:t xml:space="preserve"> respectively.</w:t>
      </w:r>
    </w:p>
    <w:p w14:paraId="3E061F88" w14:textId="77777777" w:rsidR="004115AB" w:rsidRDefault="004115AB" w:rsidP="004115AB">
      <w:pPr>
        <w:pStyle w:val="DDLBodyText"/>
        <w:spacing w:after="0"/>
        <w:rPr>
          <w:sz w:val="20"/>
        </w:rPr>
      </w:pPr>
    </w:p>
    <w:p w14:paraId="1CF8ED70" w14:textId="11B343F3" w:rsidR="00877724" w:rsidRPr="004115AB" w:rsidRDefault="00877724" w:rsidP="004115AB">
      <w:pPr>
        <w:pStyle w:val="DDLBodyText"/>
        <w:rPr>
          <w:b/>
          <w:bCs/>
          <w:szCs w:val="18"/>
        </w:rPr>
      </w:pPr>
      <w:r w:rsidRPr="004115AB">
        <w:rPr>
          <w:b/>
          <w:bCs/>
          <w:szCs w:val="18"/>
        </w:rPr>
        <w:t xml:space="preserve">Table </w:t>
      </w:r>
      <w:r w:rsidRPr="004115AB">
        <w:rPr>
          <w:b/>
          <w:bCs/>
          <w:szCs w:val="18"/>
        </w:rPr>
        <w:fldChar w:fldCharType="begin"/>
      </w:r>
      <w:r w:rsidRPr="004115AB">
        <w:rPr>
          <w:b/>
          <w:bCs/>
          <w:szCs w:val="18"/>
        </w:rPr>
        <w:instrText xml:space="preserve"> SEQ Table \* ARABIC </w:instrText>
      </w:r>
      <w:r w:rsidRPr="004115AB">
        <w:rPr>
          <w:b/>
          <w:bCs/>
          <w:szCs w:val="18"/>
        </w:rPr>
        <w:fldChar w:fldCharType="separate"/>
      </w:r>
      <w:r w:rsidR="0004362D">
        <w:rPr>
          <w:b/>
          <w:bCs/>
          <w:noProof/>
          <w:szCs w:val="18"/>
        </w:rPr>
        <w:t>1</w:t>
      </w:r>
      <w:r w:rsidRPr="004115AB">
        <w:rPr>
          <w:b/>
          <w:bCs/>
          <w:szCs w:val="18"/>
        </w:rPr>
        <w:fldChar w:fldCharType="end"/>
      </w:r>
      <w:r w:rsidRPr="004115AB">
        <w:rPr>
          <w:b/>
          <w:bCs/>
          <w:szCs w:val="18"/>
        </w:rPr>
        <w:t xml:space="preserve"> - Particle size distributions</w:t>
      </w:r>
      <w:r w:rsidR="004115AB" w:rsidRPr="004115AB">
        <w:rPr>
          <w:b/>
          <w:bCs/>
          <w:szCs w:val="18"/>
        </w:rPr>
        <w:t>. * The particle size data of the API is taken from the certificate of analysis from the manufacturer.</w:t>
      </w:r>
    </w:p>
    <w:tbl>
      <w:tblPr>
        <w:tblStyle w:val="TableGrid"/>
        <w:tblW w:w="0" w:type="auto"/>
        <w:jc w:val="center"/>
        <w:tblLook w:val="04A0" w:firstRow="1" w:lastRow="0" w:firstColumn="1" w:lastColumn="0" w:noHBand="0" w:noVBand="1"/>
      </w:tblPr>
      <w:tblGrid>
        <w:gridCol w:w="1510"/>
        <w:gridCol w:w="1746"/>
        <w:gridCol w:w="1701"/>
        <w:gridCol w:w="1842"/>
      </w:tblGrid>
      <w:tr w:rsidR="00BC446A" w14:paraId="51A039ED" w14:textId="77777777" w:rsidTr="004115AB">
        <w:trPr>
          <w:jc w:val="center"/>
        </w:trPr>
        <w:tc>
          <w:tcPr>
            <w:tcW w:w="1510" w:type="dxa"/>
          </w:tcPr>
          <w:p w14:paraId="1F3426CD" w14:textId="48A32AE0" w:rsidR="00BC446A" w:rsidRDefault="00BC446A" w:rsidP="009F0A59">
            <w:pPr>
              <w:pStyle w:val="DDLBodyText"/>
              <w:rPr>
                <w:sz w:val="20"/>
              </w:rPr>
            </w:pPr>
            <w:r>
              <w:rPr>
                <w:sz w:val="20"/>
              </w:rPr>
              <w:t>Formulation</w:t>
            </w:r>
          </w:p>
        </w:tc>
        <w:tc>
          <w:tcPr>
            <w:tcW w:w="1746" w:type="dxa"/>
          </w:tcPr>
          <w:p w14:paraId="2EC14D35" w14:textId="33BA0E8A" w:rsidR="00BC446A" w:rsidRDefault="00BC446A" w:rsidP="009F0A59">
            <w:pPr>
              <w:pStyle w:val="DDLBodyText"/>
              <w:rPr>
                <w:sz w:val="20"/>
              </w:rPr>
            </w:pPr>
            <w:r>
              <w:rPr>
                <w:sz w:val="20"/>
              </w:rPr>
              <w:t>X10</w:t>
            </w:r>
            <w:r w:rsidR="00BB62D3">
              <w:rPr>
                <w:sz w:val="20"/>
              </w:rPr>
              <w:t xml:space="preserve"> [µm]</w:t>
            </w:r>
          </w:p>
        </w:tc>
        <w:tc>
          <w:tcPr>
            <w:tcW w:w="1701" w:type="dxa"/>
          </w:tcPr>
          <w:p w14:paraId="48BBAFB6" w14:textId="29D085F1" w:rsidR="00BC446A" w:rsidRDefault="00BC446A" w:rsidP="009F0A59">
            <w:pPr>
              <w:pStyle w:val="DDLBodyText"/>
              <w:rPr>
                <w:sz w:val="20"/>
              </w:rPr>
            </w:pPr>
            <w:r>
              <w:rPr>
                <w:sz w:val="20"/>
              </w:rPr>
              <w:t>X50</w:t>
            </w:r>
            <w:r w:rsidR="00BB62D3">
              <w:rPr>
                <w:sz w:val="20"/>
              </w:rPr>
              <w:t xml:space="preserve"> [µm]</w:t>
            </w:r>
          </w:p>
        </w:tc>
        <w:tc>
          <w:tcPr>
            <w:tcW w:w="1842" w:type="dxa"/>
          </w:tcPr>
          <w:p w14:paraId="6350C191" w14:textId="17059B21" w:rsidR="00BC446A" w:rsidRDefault="00BC446A" w:rsidP="009F0A59">
            <w:pPr>
              <w:pStyle w:val="DDLBodyText"/>
              <w:rPr>
                <w:sz w:val="20"/>
              </w:rPr>
            </w:pPr>
            <w:r>
              <w:rPr>
                <w:sz w:val="20"/>
              </w:rPr>
              <w:t>X90</w:t>
            </w:r>
            <w:r w:rsidR="00BB62D3">
              <w:rPr>
                <w:sz w:val="20"/>
              </w:rPr>
              <w:t xml:space="preserve"> [µm]</w:t>
            </w:r>
          </w:p>
        </w:tc>
      </w:tr>
      <w:tr w:rsidR="00BC446A" w14:paraId="73300C98" w14:textId="77777777" w:rsidTr="004115AB">
        <w:trPr>
          <w:jc w:val="center"/>
        </w:trPr>
        <w:tc>
          <w:tcPr>
            <w:tcW w:w="1510" w:type="dxa"/>
          </w:tcPr>
          <w:p w14:paraId="0ADB08AD" w14:textId="00887F7D" w:rsidR="00BC446A" w:rsidRDefault="00BC446A" w:rsidP="009F0A59">
            <w:pPr>
              <w:pStyle w:val="DDLBodyText"/>
              <w:rPr>
                <w:sz w:val="20"/>
              </w:rPr>
            </w:pPr>
            <w:r>
              <w:rPr>
                <w:sz w:val="20"/>
              </w:rPr>
              <w:t>1</w:t>
            </w:r>
          </w:p>
        </w:tc>
        <w:tc>
          <w:tcPr>
            <w:tcW w:w="1746" w:type="dxa"/>
          </w:tcPr>
          <w:p w14:paraId="0FE88495" w14:textId="5856030A" w:rsidR="00BC446A" w:rsidRDefault="00BC446A" w:rsidP="009F0A59">
            <w:pPr>
              <w:pStyle w:val="DDLBodyText"/>
              <w:rPr>
                <w:sz w:val="20"/>
              </w:rPr>
            </w:pPr>
            <w:r>
              <w:rPr>
                <w:sz w:val="20"/>
              </w:rPr>
              <w:t>219</w:t>
            </w:r>
            <w:r w:rsidR="00BB62D3">
              <w:rPr>
                <w:sz w:val="20"/>
              </w:rPr>
              <w:t>.</w:t>
            </w:r>
            <w:r>
              <w:rPr>
                <w:sz w:val="20"/>
              </w:rPr>
              <w:t>85</w:t>
            </w:r>
            <w:r>
              <w:rPr>
                <w:rFonts w:cs="Arial"/>
                <w:sz w:val="20"/>
              </w:rPr>
              <w:t>±1</w:t>
            </w:r>
            <w:r w:rsidR="00BB62D3">
              <w:rPr>
                <w:rFonts w:cs="Arial"/>
                <w:sz w:val="20"/>
              </w:rPr>
              <w:t>.</w:t>
            </w:r>
            <w:r>
              <w:rPr>
                <w:rFonts w:cs="Arial"/>
                <w:sz w:val="20"/>
              </w:rPr>
              <w:t>11</w:t>
            </w:r>
          </w:p>
        </w:tc>
        <w:tc>
          <w:tcPr>
            <w:tcW w:w="1701" w:type="dxa"/>
          </w:tcPr>
          <w:p w14:paraId="6632F04A" w14:textId="2716FAC9" w:rsidR="00BC446A" w:rsidRDefault="00BC446A" w:rsidP="009F0A59">
            <w:pPr>
              <w:pStyle w:val="DDLBodyText"/>
              <w:rPr>
                <w:sz w:val="20"/>
              </w:rPr>
            </w:pPr>
            <w:r>
              <w:rPr>
                <w:sz w:val="20"/>
              </w:rPr>
              <w:t>297</w:t>
            </w:r>
            <w:r w:rsidR="00AA66AA">
              <w:rPr>
                <w:sz w:val="20"/>
              </w:rPr>
              <w:t>:</w:t>
            </w:r>
            <w:r>
              <w:rPr>
                <w:sz w:val="20"/>
              </w:rPr>
              <w:t>51</w:t>
            </w:r>
            <w:r>
              <w:rPr>
                <w:rFonts w:cs="Arial"/>
                <w:sz w:val="20"/>
              </w:rPr>
              <w:t>±0</w:t>
            </w:r>
            <w:r w:rsidR="00BB62D3">
              <w:rPr>
                <w:rFonts w:cs="Arial"/>
                <w:sz w:val="20"/>
              </w:rPr>
              <w:t>.</w:t>
            </w:r>
            <w:r>
              <w:rPr>
                <w:rFonts w:cs="Arial"/>
                <w:sz w:val="20"/>
              </w:rPr>
              <w:t>93</w:t>
            </w:r>
          </w:p>
        </w:tc>
        <w:tc>
          <w:tcPr>
            <w:tcW w:w="1842" w:type="dxa"/>
          </w:tcPr>
          <w:p w14:paraId="4B392E82" w14:textId="2B23C022" w:rsidR="00BC446A" w:rsidRDefault="00BC446A" w:rsidP="009F0A59">
            <w:pPr>
              <w:pStyle w:val="DDLBodyText"/>
              <w:rPr>
                <w:sz w:val="20"/>
              </w:rPr>
            </w:pPr>
            <w:r>
              <w:rPr>
                <w:sz w:val="20"/>
              </w:rPr>
              <w:t>352</w:t>
            </w:r>
            <w:r w:rsidR="00AA66AA">
              <w:rPr>
                <w:sz w:val="20"/>
              </w:rPr>
              <w:t>.</w:t>
            </w:r>
            <w:r>
              <w:rPr>
                <w:sz w:val="20"/>
              </w:rPr>
              <w:t>28</w:t>
            </w:r>
            <w:r>
              <w:rPr>
                <w:rFonts w:cs="Arial"/>
                <w:sz w:val="20"/>
              </w:rPr>
              <w:t>±1</w:t>
            </w:r>
            <w:r w:rsidR="00BB62D3">
              <w:rPr>
                <w:rFonts w:cs="Arial"/>
                <w:sz w:val="20"/>
              </w:rPr>
              <w:t>.</w:t>
            </w:r>
            <w:r>
              <w:rPr>
                <w:rFonts w:cs="Arial"/>
                <w:sz w:val="20"/>
              </w:rPr>
              <w:t>14</w:t>
            </w:r>
          </w:p>
        </w:tc>
      </w:tr>
      <w:tr w:rsidR="00BC446A" w14:paraId="15F0F7C6" w14:textId="77777777" w:rsidTr="004115AB">
        <w:trPr>
          <w:trHeight w:val="132"/>
          <w:jc w:val="center"/>
        </w:trPr>
        <w:tc>
          <w:tcPr>
            <w:tcW w:w="1510" w:type="dxa"/>
          </w:tcPr>
          <w:p w14:paraId="15602080" w14:textId="0F8F9ABB" w:rsidR="00BC446A" w:rsidRDefault="00BC446A" w:rsidP="009F0A59">
            <w:pPr>
              <w:pStyle w:val="DDLBodyText"/>
              <w:rPr>
                <w:sz w:val="20"/>
              </w:rPr>
            </w:pPr>
            <w:r>
              <w:rPr>
                <w:sz w:val="20"/>
              </w:rPr>
              <w:t>2</w:t>
            </w:r>
          </w:p>
        </w:tc>
        <w:tc>
          <w:tcPr>
            <w:tcW w:w="1746" w:type="dxa"/>
          </w:tcPr>
          <w:p w14:paraId="23CB9CF4" w14:textId="2CFC5915" w:rsidR="00BC446A" w:rsidRDefault="00BC446A" w:rsidP="009F0A59">
            <w:pPr>
              <w:pStyle w:val="DDLBodyText"/>
              <w:rPr>
                <w:sz w:val="20"/>
              </w:rPr>
            </w:pPr>
            <w:r>
              <w:rPr>
                <w:sz w:val="20"/>
              </w:rPr>
              <w:t>220</w:t>
            </w:r>
            <w:r w:rsidR="00B35874">
              <w:rPr>
                <w:sz w:val="20"/>
              </w:rPr>
              <w:t>.</w:t>
            </w:r>
            <w:r>
              <w:rPr>
                <w:sz w:val="20"/>
              </w:rPr>
              <w:t>18</w:t>
            </w:r>
            <w:r w:rsidR="00B35874">
              <w:rPr>
                <w:sz w:val="20"/>
              </w:rPr>
              <w:t xml:space="preserve"> </w:t>
            </w:r>
            <w:r>
              <w:rPr>
                <w:rFonts w:cs="Arial"/>
                <w:sz w:val="20"/>
              </w:rPr>
              <w:t>±0</w:t>
            </w:r>
            <w:r w:rsidR="00B35874">
              <w:rPr>
                <w:rFonts w:cs="Arial"/>
                <w:sz w:val="20"/>
              </w:rPr>
              <w:t>.</w:t>
            </w:r>
            <w:r>
              <w:rPr>
                <w:rFonts w:cs="Arial"/>
                <w:sz w:val="20"/>
              </w:rPr>
              <w:t>88</w:t>
            </w:r>
          </w:p>
        </w:tc>
        <w:tc>
          <w:tcPr>
            <w:tcW w:w="1701" w:type="dxa"/>
          </w:tcPr>
          <w:p w14:paraId="5550F6EF" w14:textId="55DC8D17" w:rsidR="00BC446A" w:rsidRDefault="00BC446A" w:rsidP="009F0A59">
            <w:pPr>
              <w:pStyle w:val="DDLBodyText"/>
              <w:rPr>
                <w:sz w:val="20"/>
              </w:rPr>
            </w:pPr>
            <w:r>
              <w:rPr>
                <w:sz w:val="20"/>
              </w:rPr>
              <w:t>299</w:t>
            </w:r>
            <w:r w:rsidR="00B35874">
              <w:rPr>
                <w:sz w:val="20"/>
              </w:rPr>
              <w:t>.</w:t>
            </w:r>
            <w:r>
              <w:rPr>
                <w:sz w:val="20"/>
              </w:rPr>
              <w:t>01</w:t>
            </w:r>
            <w:r>
              <w:rPr>
                <w:rFonts w:cs="Arial"/>
                <w:sz w:val="20"/>
              </w:rPr>
              <w:t>±0</w:t>
            </w:r>
            <w:r w:rsidR="00B35874">
              <w:rPr>
                <w:rFonts w:cs="Arial"/>
                <w:sz w:val="20"/>
              </w:rPr>
              <w:t>.</w:t>
            </w:r>
            <w:r>
              <w:rPr>
                <w:rFonts w:cs="Arial"/>
                <w:sz w:val="20"/>
              </w:rPr>
              <w:t>99</w:t>
            </w:r>
          </w:p>
        </w:tc>
        <w:tc>
          <w:tcPr>
            <w:tcW w:w="1842" w:type="dxa"/>
          </w:tcPr>
          <w:p w14:paraId="1E1E14CE" w14:textId="109BAA73" w:rsidR="00BC446A" w:rsidRDefault="00BC446A" w:rsidP="009F0A59">
            <w:pPr>
              <w:pStyle w:val="DDLBodyText"/>
              <w:rPr>
                <w:sz w:val="20"/>
              </w:rPr>
            </w:pPr>
            <w:r>
              <w:rPr>
                <w:sz w:val="20"/>
              </w:rPr>
              <w:t>351</w:t>
            </w:r>
            <w:r w:rsidR="00B35874">
              <w:rPr>
                <w:sz w:val="20"/>
              </w:rPr>
              <w:t>.</w:t>
            </w:r>
            <w:r>
              <w:rPr>
                <w:sz w:val="20"/>
              </w:rPr>
              <w:t>51</w:t>
            </w:r>
            <w:r>
              <w:rPr>
                <w:rFonts w:cs="Arial"/>
                <w:sz w:val="20"/>
              </w:rPr>
              <w:t>±1</w:t>
            </w:r>
            <w:r w:rsidR="00B35874">
              <w:rPr>
                <w:rFonts w:cs="Arial"/>
                <w:sz w:val="20"/>
              </w:rPr>
              <w:t>.</w:t>
            </w:r>
            <w:r>
              <w:rPr>
                <w:rFonts w:cs="Arial"/>
                <w:sz w:val="20"/>
              </w:rPr>
              <w:t>136</w:t>
            </w:r>
          </w:p>
        </w:tc>
      </w:tr>
      <w:tr w:rsidR="00BC446A" w14:paraId="4C7EF8FA" w14:textId="77777777" w:rsidTr="004115AB">
        <w:trPr>
          <w:trHeight w:val="290"/>
          <w:jc w:val="center"/>
        </w:trPr>
        <w:tc>
          <w:tcPr>
            <w:tcW w:w="1510" w:type="dxa"/>
          </w:tcPr>
          <w:p w14:paraId="585E2844" w14:textId="132FB3E1" w:rsidR="00BC446A" w:rsidRDefault="00BC446A" w:rsidP="009F0A59">
            <w:pPr>
              <w:pStyle w:val="DDLBodyText"/>
              <w:rPr>
                <w:sz w:val="20"/>
              </w:rPr>
            </w:pPr>
            <w:r>
              <w:rPr>
                <w:sz w:val="20"/>
              </w:rPr>
              <w:t>3</w:t>
            </w:r>
          </w:p>
        </w:tc>
        <w:tc>
          <w:tcPr>
            <w:tcW w:w="1746" w:type="dxa"/>
          </w:tcPr>
          <w:p w14:paraId="2F3BA187" w14:textId="5499E88B" w:rsidR="00BC446A" w:rsidRDefault="00BC446A" w:rsidP="009F0A59">
            <w:pPr>
              <w:pStyle w:val="DDLBodyText"/>
              <w:rPr>
                <w:sz w:val="20"/>
              </w:rPr>
            </w:pPr>
            <w:r>
              <w:rPr>
                <w:sz w:val="20"/>
              </w:rPr>
              <w:t>219</w:t>
            </w:r>
            <w:r w:rsidR="00B35874">
              <w:rPr>
                <w:sz w:val="20"/>
              </w:rPr>
              <w:t>.</w:t>
            </w:r>
            <w:r>
              <w:rPr>
                <w:sz w:val="20"/>
              </w:rPr>
              <w:t>55</w:t>
            </w:r>
            <w:r w:rsidR="00B35874">
              <w:rPr>
                <w:sz w:val="20"/>
              </w:rPr>
              <w:t xml:space="preserve"> </w:t>
            </w:r>
            <w:r>
              <w:rPr>
                <w:rFonts w:cs="Arial"/>
                <w:sz w:val="20"/>
              </w:rPr>
              <w:t>±1</w:t>
            </w:r>
            <w:r w:rsidR="00B35874">
              <w:rPr>
                <w:rFonts w:cs="Arial"/>
                <w:sz w:val="20"/>
              </w:rPr>
              <w:t>.</w:t>
            </w:r>
            <w:r>
              <w:rPr>
                <w:rFonts w:cs="Arial"/>
                <w:sz w:val="20"/>
              </w:rPr>
              <w:t>41</w:t>
            </w:r>
          </w:p>
        </w:tc>
        <w:tc>
          <w:tcPr>
            <w:tcW w:w="1701" w:type="dxa"/>
          </w:tcPr>
          <w:p w14:paraId="1DB0964E" w14:textId="5F101E3F" w:rsidR="00BC446A" w:rsidRDefault="00BC446A" w:rsidP="009F0A59">
            <w:pPr>
              <w:pStyle w:val="DDLBodyText"/>
              <w:rPr>
                <w:sz w:val="20"/>
              </w:rPr>
            </w:pPr>
            <w:r>
              <w:rPr>
                <w:sz w:val="20"/>
              </w:rPr>
              <w:t>298</w:t>
            </w:r>
            <w:r w:rsidR="00B35874">
              <w:rPr>
                <w:sz w:val="20"/>
              </w:rPr>
              <w:t>.</w:t>
            </w:r>
            <w:r>
              <w:rPr>
                <w:sz w:val="20"/>
              </w:rPr>
              <w:t>13</w:t>
            </w:r>
            <w:r>
              <w:rPr>
                <w:rFonts w:cs="Arial"/>
                <w:sz w:val="20"/>
              </w:rPr>
              <w:t>±1</w:t>
            </w:r>
            <w:r w:rsidR="00B35874">
              <w:rPr>
                <w:rFonts w:cs="Arial"/>
                <w:sz w:val="20"/>
              </w:rPr>
              <w:t>.</w:t>
            </w:r>
            <w:r>
              <w:rPr>
                <w:rFonts w:cs="Arial"/>
                <w:sz w:val="20"/>
              </w:rPr>
              <w:t>01</w:t>
            </w:r>
          </w:p>
        </w:tc>
        <w:tc>
          <w:tcPr>
            <w:tcW w:w="1842" w:type="dxa"/>
          </w:tcPr>
          <w:p w14:paraId="1A82F525" w14:textId="645B42F3" w:rsidR="00BC446A" w:rsidRDefault="00BC446A" w:rsidP="009F0A59">
            <w:pPr>
              <w:pStyle w:val="DDLBodyText"/>
              <w:rPr>
                <w:sz w:val="20"/>
              </w:rPr>
            </w:pPr>
            <w:r>
              <w:rPr>
                <w:sz w:val="20"/>
              </w:rPr>
              <w:t>351</w:t>
            </w:r>
            <w:r w:rsidR="00B35874">
              <w:rPr>
                <w:sz w:val="20"/>
              </w:rPr>
              <w:t>.</w:t>
            </w:r>
            <w:r>
              <w:rPr>
                <w:sz w:val="20"/>
              </w:rPr>
              <w:t>77</w:t>
            </w:r>
            <w:r>
              <w:rPr>
                <w:rFonts w:cs="Arial"/>
                <w:sz w:val="20"/>
              </w:rPr>
              <w:t>±1</w:t>
            </w:r>
            <w:r w:rsidR="00B35874">
              <w:rPr>
                <w:rFonts w:cs="Arial"/>
                <w:sz w:val="20"/>
              </w:rPr>
              <w:t>.</w:t>
            </w:r>
            <w:r>
              <w:rPr>
                <w:rFonts w:cs="Arial"/>
                <w:sz w:val="20"/>
              </w:rPr>
              <w:t>77</w:t>
            </w:r>
          </w:p>
        </w:tc>
      </w:tr>
      <w:tr w:rsidR="00AA66AA" w14:paraId="002E9EEE" w14:textId="77777777" w:rsidTr="004115AB">
        <w:trPr>
          <w:trHeight w:val="290"/>
          <w:jc w:val="center"/>
        </w:trPr>
        <w:tc>
          <w:tcPr>
            <w:tcW w:w="1510" w:type="dxa"/>
          </w:tcPr>
          <w:p w14:paraId="0ABA71E4" w14:textId="2F4199EE" w:rsidR="00AA66AA" w:rsidRPr="00AA66AA" w:rsidRDefault="00AA66AA" w:rsidP="009F0A59">
            <w:pPr>
              <w:pStyle w:val="DDLBodyText"/>
              <w:rPr>
                <w:sz w:val="20"/>
                <w:vertAlign w:val="superscript"/>
              </w:rPr>
            </w:pPr>
            <w:r>
              <w:rPr>
                <w:sz w:val="20"/>
              </w:rPr>
              <w:t>API</w:t>
            </w:r>
            <w:r>
              <w:rPr>
                <w:sz w:val="20"/>
                <w:vertAlign w:val="superscript"/>
              </w:rPr>
              <w:t>*</w:t>
            </w:r>
          </w:p>
        </w:tc>
        <w:tc>
          <w:tcPr>
            <w:tcW w:w="1746" w:type="dxa"/>
          </w:tcPr>
          <w:p w14:paraId="2DB00109" w14:textId="0620ED86" w:rsidR="00AA66AA" w:rsidRDefault="00AA66AA" w:rsidP="009F0A59">
            <w:pPr>
              <w:pStyle w:val="DDLBodyText"/>
              <w:rPr>
                <w:sz w:val="20"/>
              </w:rPr>
            </w:pPr>
            <w:r>
              <w:rPr>
                <w:sz w:val="20"/>
              </w:rPr>
              <w:t>0.609</w:t>
            </w:r>
          </w:p>
        </w:tc>
        <w:tc>
          <w:tcPr>
            <w:tcW w:w="1701" w:type="dxa"/>
          </w:tcPr>
          <w:p w14:paraId="54247B81" w14:textId="200FFF69" w:rsidR="00AA66AA" w:rsidRDefault="00AA66AA" w:rsidP="009F0A59">
            <w:pPr>
              <w:pStyle w:val="DDLBodyText"/>
              <w:rPr>
                <w:sz w:val="20"/>
              </w:rPr>
            </w:pPr>
            <w:r>
              <w:rPr>
                <w:sz w:val="20"/>
              </w:rPr>
              <w:t>3.25</w:t>
            </w:r>
          </w:p>
        </w:tc>
        <w:tc>
          <w:tcPr>
            <w:tcW w:w="1842" w:type="dxa"/>
          </w:tcPr>
          <w:p w14:paraId="16A2D769" w14:textId="4744A382" w:rsidR="00AA66AA" w:rsidRDefault="00AA66AA" w:rsidP="009F0A59">
            <w:pPr>
              <w:pStyle w:val="DDLBodyText"/>
              <w:rPr>
                <w:sz w:val="20"/>
              </w:rPr>
            </w:pPr>
            <w:r>
              <w:rPr>
                <w:sz w:val="20"/>
              </w:rPr>
              <w:t>6.91</w:t>
            </w:r>
          </w:p>
        </w:tc>
      </w:tr>
    </w:tbl>
    <w:p w14:paraId="34F516C7" w14:textId="613CA42C" w:rsidR="00491B7C" w:rsidRDefault="00AA66AA" w:rsidP="009F0A59">
      <w:pPr>
        <w:pStyle w:val="DDLBodyText"/>
        <w:rPr>
          <w:sz w:val="20"/>
        </w:rPr>
      </w:pPr>
      <w:r>
        <w:rPr>
          <w:noProof/>
          <w:sz w:val="20"/>
        </w:rPr>
        <w:lastRenderedPageBreak/>
        <w:drawing>
          <wp:inline distT="0" distB="0" distL="0" distR="0" wp14:anchorId="7A0B79F7" wp14:editId="10575380">
            <wp:extent cx="1727999" cy="1836000"/>
            <wp:effectExtent l="0" t="0" r="5715"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7999" cy="1836000"/>
                    </a:xfrm>
                    <a:prstGeom prst="rect">
                      <a:avLst/>
                    </a:prstGeom>
                  </pic:spPr>
                </pic:pic>
              </a:graphicData>
            </a:graphic>
          </wp:inline>
        </w:drawing>
      </w:r>
      <w:r>
        <w:rPr>
          <w:noProof/>
          <w:sz w:val="20"/>
        </w:rPr>
        <w:drawing>
          <wp:inline distT="0" distB="0" distL="0" distR="0" wp14:anchorId="755224E7" wp14:editId="3ED9046E">
            <wp:extent cx="1728000" cy="1836000"/>
            <wp:effectExtent l="0" t="0" r="5715"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8000" cy="1836000"/>
                    </a:xfrm>
                    <a:prstGeom prst="rect">
                      <a:avLst/>
                    </a:prstGeom>
                  </pic:spPr>
                </pic:pic>
              </a:graphicData>
            </a:graphic>
          </wp:inline>
        </w:drawing>
      </w:r>
      <w:r>
        <w:rPr>
          <w:noProof/>
          <w:sz w:val="20"/>
        </w:rPr>
        <w:drawing>
          <wp:inline distT="0" distB="0" distL="0" distR="0" wp14:anchorId="6E732418" wp14:editId="0C35A704">
            <wp:extent cx="1728000" cy="1836000"/>
            <wp:effectExtent l="0" t="0" r="5715"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8000" cy="1836000"/>
                    </a:xfrm>
                    <a:prstGeom prst="rect">
                      <a:avLst/>
                    </a:prstGeom>
                  </pic:spPr>
                </pic:pic>
              </a:graphicData>
            </a:graphic>
          </wp:inline>
        </w:drawing>
      </w:r>
    </w:p>
    <w:p w14:paraId="324D1592" w14:textId="7943526D" w:rsidR="00491B7C" w:rsidRDefault="00491B7C" w:rsidP="00491B7C">
      <w:pPr>
        <w:pStyle w:val="DDLCaption"/>
        <w:rPr>
          <w:sz w:val="18"/>
          <w:szCs w:val="18"/>
        </w:rPr>
      </w:pPr>
      <w:r w:rsidRPr="005D1383">
        <w:rPr>
          <w:sz w:val="18"/>
          <w:szCs w:val="18"/>
        </w:rPr>
        <w:t xml:space="preserve">Figure </w:t>
      </w:r>
      <w:r w:rsidR="00815E73">
        <w:rPr>
          <w:sz w:val="18"/>
          <w:szCs w:val="18"/>
        </w:rPr>
        <w:t xml:space="preserve">1 – </w:t>
      </w:r>
      <w:r>
        <w:rPr>
          <w:sz w:val="18"/>
          <w:szCs w:val="18"/>
        </w:rPr>
        <w:t>SEM images of formulation 1,</w:t>
      </w:r>
      <w:r w:rsidR="00A666CE">
        <w:rPr>
          <w:sz w:val="18"/>
          <w:szCs w:val="18"/>
        </w:rPr>
        <w:t xml:space="preserve"> </w:t>
      </w:r>
      <w:r>
        <w:rPr>
          <w:sz w:val="18"/>
          <w:szCs w:val="18"/>
        </w:rPr>
        <w:t xml:space="preserve">2 </w:t>
      </w:r>
      <w:r w:rsidR="00A666CE">
        <w:rPr>
          <w:sz w:val="18"/>
          <w:szCs w:val="18"/>
        </w:rPr>
        <w:t xml:space="preserve">and </w:t>
      </w:r>
      <w:r>
        <w:rPr>
          <w:sz w:val="18"/>
          <w:szCs w:val="18"/>
        </w:rPr>
        <w:t>3.</w:t>
      </w:r>
      <w:r w:rsidR="00815E73">
        <w:rPr>
          <w:sz w:val="18"/>
          <w:szCs w:val="18"/>
        </w:rPr>
        <w:t xml:space="preserve"> Particles of similar dimension, sphericity and smoothness, irrespective of PEG content were found.</w:t>
      </w:r>
    </w:p>
    <w:p w14:paraId="43740468" w14:textId="0A747745" w:rsidR="00491B7C" w:rsidRPr="00491B7C" w:rsidRDefault="00491B7C" w:rsidP="009F0A59">
      <w:pPr>
        <w:pStyle w:val="DDLBodyText"/>
        <w:rPr>
          <w:sz w:val="20"/>
        </w:rPr>
      </w:pPr>
      <w:r>
        <w:rPr>
          <w:sz w:val="20"/>
        </w:rPr>
        <w:t xml:space="preserve">The </w:t>
      </w:r>
      <w:r w:rsidR="00A7548F">
        <w:rPr>
          <w:sz w:val="20"/>
        </w:rPr>
        <w:t>amount of detachable fine material</w:t>
      </w:r>
      <w:r w:rsidR="00C52F97">
        <w:rPr>
          <w:sz w:val="20"/>
        </w:rPr>
        <w:t xml:space="preserve"> </w:t>
      </w:r>
      <w:r>
        <w:rPr>
          <w:sz w:val="20"/>
        </w:rPr>
        <w:t>of their respective blend</w:t>
      </w:r>
      <w:r w:rsidR="00C52F97">
        <w:rPr>
          <w:sz w:val="20"/>
        </w:rPr>
        <w:t>s</w:t>
      </w:r>
      <w:r>
        <w:rPr>
          <w:sz w:val="20"/>
        </w:rPr>
        <w:t xml:space="preserve"> as a function of mixing time is depicted in figure</w:t>
      </w:r>
      <w:r w:rsidR="00A666CE">
        <w:rPr>
          <w:sz w:val="20"/>
        </w:rPr>
        <w:t xml:space="preserve"> </w:t>
      </w:r>
      <w:r w:rsidR="00815E73">
        <w:rPr>
          <w:sz w:val="20"/>
        </w:rPr>
        <w:t>2</w:t>
      </w:r>
      <w:r>
        <w:rPr>
          <w:sz w:val="20"/>
        </w:rPr>
        <w:t xml:space="preserve"> including </w:t>
      </w:r>
      <w:r w:rsidR="00C52F97">
        <w:rPr>
          <w:sz w:val="20"/>
        </w:rPr>
        <w:t xml:space="preserve">the respective </w:t>
      </w:r>
      <w:r>
        <w:rPr>
          <w:sz w:val="20"/>
        </w:rPr>
        <w:t>exponential regression</w:t>
      </w:r>
      <w:r w:rsidR="00C52F97">
        <w:rPr>
          <w:sz w:val="20"/>
        </w:rPr>
        <w:t>s</w:t>
      </w:r>
      <w:r w:rsidR="00870C26">
        <w:rPr>
          <w:sz w:val="20"/>
        </w:rPr>
        <w:t>.</w:t>
      </w:r>
      <w:r w:rsidR="00413A2A">
        <w:rPr>
          <w:sz w:val="20"/>
        </w:rPr>
        <w:t xml:space="preserve"> </w:t>
      </w:r>
      <w:r w:rsidR="00413A2A" w:rsidRPr="00413A2A">
        <w:rPr>
          <w:sz w:val="20"/>
        </w:rPr>
        <w:t xml:space="preserve">Analogous mixtures with </w:t>
      </w:r>
      <w:r w:rsidR="00413A2A">
        <w:rPr>
          <w:sz w:val="20"/>
        </w:rPr>
        <w:t>INH</w:t>
      </w:r>
      <w:r w:rsidR="00413A2A" w:rsidRPr="00413A2A">
        <w:rPr>
          <w:sz w:val="20"/>
        </w:rPr>
        <w:t xml:space="preserve">70 as well as testing of aerodynamic performance </w:t>
      </w:r>
      <w:r w:rsidR="00E266DF">
        <w:rPr>
          <w:sz w:val="20"/>
        </w:rPr>
        <w:t xml:space="preserve">by impactor measurements </w:t>
      </w:r>
      <w:r w:rsidR="00413A2A" w:rsidRPr="00413A2A">
        <w:rPr>
          <w:sz w:val="20"/>
        </w:rPr>
        <w:t>are ongoing.</w:t>
      </w:r>
      <w:r w:rsidR="00B35874">
        <w:rPr>
          <w:sz w:val="20"/>
        </w:rPr>
        <w:t xml:space="preserve"> It is known from the literature, that FPF decreases pronouncedly with mixing time</w:t>
      </w:r>
      <w:r w:rsidR="00B44DF3">
        <w:rPr>
          <w:sz w:val="20"/>
        </w:rPr>
        <w:t xml:space="preserve"> </w:t>
      </w:r>
      <w:r w:rsidR="00B35874">
        <w:rPr>
          <w:sz w:val="20"/>
        </w:rPr>
        <w:t>[3].</w:t>
      </w:r>
    </w:p>
    <w:p w14:paraId="5A9894E4" w14:textId="5F0C80CE" w:rsidR="00BD6660" w:rsidRDefault="00815E73" w:rsidP="004115AB">
      <w:pPr>
        <w:pStyle w:val="DDLBodyText"/>
        <w:jc w:val="center"/>
        <w:rPr>
          <w:sz w:val="20"/>
        </w:rPr>
      </w:pPr>
      <w:r>
        <w:rPr>
          <w:noProof/>
          <w:lang w:val="en-US" w:eastAsia="zh-CN"/>
        </w:rPr>
        <w:drawing>
          <wp:inline distT="0" distB="0" distL="0" distR="0" wp14:anchorId="7DB64050" wp14:editId="0C5AD1EA">
            <wp:extent cx="4768850" cy="2667000"/>
            <wp:effectExtent l="0" t="0" r="12700" b="0"/>
            <wp:docPr id="1" name="Diagramm 1">
              <a:extLst xmlns:a="http://schemas.openxmlformats.org/drawingml/2006/main">
                <a:ext uri="{FF2B5EF4-FFF2-40B4-BE49-F238E27FC236}">
                  <a16:creationId xmlns:a16="http://schemas.microsoft.com/office/drawing/2014/main" id="{498189D3-3A79-428A-943D-06D965F10C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F54CF08" w14:textId="3624DEBA" w:rsidR="00491B7C" w:rsidRDefault="00491B7C" w:rsidP="00491B7C">
      <w:pPr>
        <w:pStyle w:val="DDLCaption"/>
        <w:rPr>
          <w:sz w:val="18"/>
          <w:szCs w:val="18"/>
        </w:rPr>
      </w:pPr>
      <w:bookmarkStart w:id="2" w:name="_Hlk139551959"/>
      <w:r w:rsidRPr="005D1383">
        <w:rPr>
          <w:sz w:val="18"/>
          <w:szCs w:val="18"/>
        </w:rPr>
        <w:t xml:space="preserve">Figure </w:t>
      </w:r>
      <w:r>
        <w:rPr>
          <w:sz w:val="18"/>
          <w:szCs w:val="18"/>
        </w:rPr>
        <w:t>2</w:t>
      </w:r>
      <w:r w:rsidRPr="005D1383">
        <w:rPr>
          <w:sz w:val="18"/>
          <w:szCs w:val="18"/>
        </w:rPr>
        <w:t xml:space="preserve"> -</w:t>
      </w:r>
      <w:r w:rsidRPr="005D1383">
        <w:rPr>
          <w:sz w:val="18"/>
          <w:szCs w:val="18"/>
        </w:rPr>
        <w:tab/>
      </w:r>
      <w:r w:rsidR="00A666CE">
        <w:rPr>
          <w:sz w:val="18"/>
          <w:szCs w:val="18"/>
        </w:rPr>
        <w:t>Particle fraction &lt; 5 µm</w:t>
      </w:r>
      <w:r w:rsidR="00C52F97">
        <w:rPr>
          <w:sz w:val="18"/>
          <w:szCs w:val="18"/>
        </w:rPr>
        <w:t xml:space="preserve"> (FPF)</w:t>
      </w:r>
      <w:r>
        <w:rPr>
          <w:sz w:val="18"/>
          <w:szCs w:val="18"/>
        </w:rPr>
        <w:t xml:space="preserve"> of </w:t>
      </w:r>
      <w:r w:rsidR="00C52F97">
        <w:rPr>
          <w:sz w:val="18"/>
          <w:szCs w:val="18"/>
        </w:rPr>
        <w:t>b</w:t>
      </w:r>
      <w:r>
        <w:rPr>
          <w:sz w:val="18"/>
          <w:szCs w:val="18"/>
        </w:rPr>
        <w:t>lends as a function of mixing time. Model Carriers with varying deformation behaviour were investigated</w:t>
      </w:r>
      <w:bookmarkEnd w:id="2"/>
      <w:r w:rsidR="00B44DF3">
        <w:rPr>
          <w:sz w:val="18"/>
          <w:szCs w:val="18"/>
        </w:rPr>
        <w:t xml:space="preserve"> (increasing PEG content from F1 (grey) to F2</w:t>
      </w:r>
      <w:r w:rsidR="004115AB">
        <w:rPr>
          <w:sz w:val="18"/>
          <w:szCs w:val="18"/>
        </w:rPr>
        <w:t xml:space="preserve"> </w:t>
      </w:r>
      <w:r w:rsidR="00B44DF3">
        <w:rPr>
          <w:sz w:val="18"/>
          <w:szCs w:val="18"/>
        </w:rPr>
        <w:t>(blue) to F3</w:t>
      </w:r>
      <w:r w:rsidR="004115AB">
        <w:rPr>
          <w:sz w:val="18"/>
          <w:szCs w:val="18"/>
        </w:rPr>
        <w:t xml:space="preserve"> </w:t>
      </w:r>
      <w:r w:rsidR="00B44DF3">
        <w:rPr>
          <w:sz w:val="18"/>
          <w:szCs w:val="18"/>
        </w:rPr>
        <w:t>(orange))</w:t>
      </w:r>
      <w:r>
        <w:rPr>
          <w:sz w:val="18"/>
          <w:szCs w:val="18"/>
        </w:rPr>
        <w:t>.</w:t>
      </w:r>
      <w:r w:rsidR="005812EF">
        <w:rPr>
          <w:sz w:val="18"/>
          <w:szCs w:val="18"/>
        </w:rPr>
        <w:t xml:space="preserve"> A strong dependency of decreasing FPF from the composition was observed: the lower the young’s modulus the higher the decrease in FPF;</w:t>
      </w:r>
      <w:r w:rsidR="00C52F97">
        <w:rPr>
          <w:sz w:val="18"/>
          <w:szCs w:val="18"/>
        </w:rPr>
        <w:t xml:space="preserve"> n=</w:t>
      </w:r>
      <w:r w:rsidR="00815E73">
        <w:rPr>
          <w:sz w:val="18"/>
          <w:szCs w:val="18"/>
        </w:rPr>
        <w:t>3; Error bars depict standard deviation.</w:t>
      </w:r>
      <w:r w:rsidR="00344D82">
        <w:rPr>
          <w:sz w:val="18"/>
          <w:szCs w:val="18"/>
        </w:rPr>
        <w:t xml:space="preserve"> </w:t>
      </w:r>
      <w:r w:rsidR="00344D82" w:rsidRPr="00344D82">
        <w:rPr>
          <w:sz w:val="18"/>
          <w:szCs w:val="18"/>
        </w:rPr>
        <w:t xml:space="preserve">Increasing PEG content increases </w:t>
      </w:r>
      <w:r w:rsidR="00C71721">
        <w:rPr>
          <w:sz w:val="18"/>
          <w:szCs w:val="18"/>
        </w:rPr>
        <w:t>the constant k.</w:t>
      </w:r>
      <w:r w:rsidR="00815E73">
        <w:rPr>
          <w:sz w:val="18"/>
          <w:szCs w:val="18"/>
        </w:rPr>
        <w:t xml:space="preserve"> </w:t>
      </w:r>
    </w:p>
    <w:p w14:paraId="38FDBD88" w14:textId="163E09DB" w:rsidR="00491B7C" w:rsidRDefault="00A666CE" w:rsidP="00491B7C">
      <w:pPr>
        <w:rPr>
          <w:sz w:val="20"/>
          <w:szCs w:val="22"/>
        </w:rPr>
      </w:pPr>
      <w:r w:rsidRPr="00870C26">
        <w:rPr>
          <w:sz w:val="20"/>
          <w:szCs w:val="22"/>
        </w:rPr>
        <w:t xml:space="preserve">In Figure 3 </w:t>
      </w:r>
      <w:r w:rsidR="00491B7C" w:rsidRPr="00870C26">
        <w:rPr>
          <w:sz w:val="20"/>
          <w:szCs w:val="22"/>
        </w:rPr>
        <w:t xml:space="preserve">the results of the </w:t>
      </w:r>
      <w:r w:rsidR="00FE6606" w:rsidRPr="00870C26">
        <w:rPr>
          <w:sz w:val="20"/>
          <w:szCs w:val="22"/>
        </w:rPr>
        <w:t xml:space="preserve">Raman microscopy </w:t>
      </w:r>
      <w:r w:rsidR="00491B7C" w:rsidRPr="00870C26">
        <w:rPr>
          <w:sz w:val="20"/>
          <w:szCs w:val="22"/>
        </w:rPr>
        <w:t xml:space="preserve">investigation </w:t>
      </w:r>
      <w:r w:rsidR="00FE6606" w:rsidRPr="00870C26">
        <w:rPr>
          <w:sz w:val="20"/>
          <w:szCs w:val="22"/>
        </w:rPr>
        <w:t>are shown</w:t>
      </w:r>
      <w:r w:rsidR="00815E73" w:rsidRPr="00870C26">
        <w:rPr>
          <w:sz w:val="20"/>
          <w:szCs w:val="22"/>
        </w:rPr>
        <w:t xml:space="preserve">. Shown is a section of agglomerated lactose quality (INH70) after </w:t>
      </w:r>
      <w:r w:rsidR="00E174A5">
        <w:rPr>
          <w:sz w:val="20"/>
          <w:szCs w:val="22"/>
        </w:rPr>
        <w:t xml:space="preserve">intensive </w:t>
      </w:r>
      <w:r w:rsidR="00815E73" w:rsidRPr="00870C26">
        <w:rPr>
          <w:sz w:val="20"/>
          <w:szCs w:val="22"/>
        </w:rPr>
        <w:t xml:space="preserve">shear stress in the </w:t>
      </w:r>
      <w:proofErr w:type="spellStart"/>
      <w:r w:rsidR="00815E73" w:rsidRPr="00870C26">
        <w:rPr>
          <w:sz w:val="20"/>
          <w:szCs w:val="22"/>
        </w:rPr>
        <w:t>Picomix</w:t>
      </w:r>
      <w:proofErr w:type="spellEnd"/>
      <w:r w:rsidR="00815E73" w:rsidRPr="00870C26">
        <w:rPr>
          <w:sz w:val="20"/>
          <w:szCs w:val="22"/>
        </w:rPr>
        <w:t xml:space="preserve">. The investigation served to verify an </w:t>
      </w:r>
      <w:proofErr w:type="spellStart"/>
      <w:r w:rsidR="00815E73" w:rsidRPr="00870C26">
        <w:rPr>
          <w:sz w:val="20"/>
          <w:szCs w:val="22"/>
        </w:rPr>
        <w:t>amorphi</w:t>
      </w:r>
      <w:r w:rsidR="00870C26">
        <w:rPr>
          <w:sz w:val="20"/>
          <w:szCs w:val="22"/>
        </w:rPr>
        <w:t>s</w:t>
      </w:r>
      <w:r w:rsidR="00815E73" w:rsidRPr="00870C26">
        <w:rPr>
          <w:sz w:val="20"/>
          <w:szCs w:val="22"/>
        </w:rPr>
        <w:t>ation</w:t>
      </w:r>
      <w:proofErr w:type="spellEnd"/>
      <w:r w:rsidR="00815E73" w:rsidRPr="00870C26">
        <w:rPr>
          <w:sz w:val="20"/>
          <w:szCs w:val="22"/>
        </w:rPr>
        <w:t xml:space="preserve"> of the surface</w:t>
      </w:r>
      <w:r w:rsidR="00B35874">
        <w:rPr>
          <w:sz w:val="20"/>
          <w:szCs w:val="22"/>
        </w:rPr>
        <w:t xml:space="preserve">, which is supposed to be causal for the decrease of FPF in the case of brittle carrier material. </w:t>
      </w:r>
    </w:p>
    <w:p w14:paraId="24C1A3EB" w14:textId="77777777" w:rsidR="004115AB" w:rsidRDefault="004115AB" w:rsidP="004115AB">
      <w:pPr>
        <w:pStyle w:val="DDLBodyText"/>
        <w:spacing w:after="120"/>
        <w:rPr>
          <w:b/>
          <w:bCs/>
          <w:sz w:val="20"/>
        </w:rPr>
      </w:pPr>
      <w:r w:rsidRPr="00491B7C">
        <w:rPr>
          <w:b/>
          <w:bCs/>
          <w:sz w:val="20"/>
        </w:rPr>
        <w:t>Discussion</w:t>
      </w:r>
    </w:p>
    <w:p w14:paraId="650CD6EC" w14:textId="33BA2AFD" w:rsidR="004115AB" w:rsidRPr="00870C26" w:rsidRDefault="004115AB" w:rsidP="004115AB">
      <w:pPr>
        <w:rPr>
          <w:sz w:val="20"/>
          <w:szCs w:val="22"/>
        </w:rPr>
      </w:pPr>
      <w:r w:rsidRPr="00491B7C">
        <w:rPr>
          <w:sz w:val="20"/>
        </w:rPr>
        <w:t xml:space="preserve">Model </w:t>
      </w:r>
      <w:r>
        <w:rPr>
          <w:sz w:val="20"/>
        </w:rPr>
        <w:t>c</w:t>
      </w:r>
      <w:r w:rsidRPr="00491B7C">
        <w:rPr>
          <w:sz w:val="20"/>
        </w:rPr>
        <w:t xml:space="preserve">arriers with similar </w:t>
      </w:r>
      <w:r>
        <w:rPr>
          <w:sz w:val="20"/>
        </w:rPr>
        <w:t>m</w:t>
      </w:r>
      <w:r w:rsidRPr="00491B7C">
        <w:rPr>
          <w:sz w:val="20"/>
        </w:rPr>
        <w:t>orphology</w:t>
      </w:r>
      <w:r>
        <w:rPr>
          <w:sz w:val="20"/>
        </w:rPr>
        <w:t>, particle size</w:t>
      </w:r>
      <w:r w:rsidRPr="00491B7C">
        <w:rPr>
          <w:sz w:val="20"/>
        </w:rPr>
        <w:t xml:space="preserve"> and </w:t>
      </w:r>
      <w:r>
        <w:rPr>
          <w:sz w:val="20"/>
        </w:rPr>
        <w:t>s</w:t>
      </w:r>
      <w:r w:rsidRPr="00491B7C">
        <w:rPr>
          <w:sz w:val="20"/>
        </w:rPr>
        <w:t xml:space="preserve">urface </w:t>
      </w:r>
      <w:r>
        <w:rPr>
          <w:sz w:val="20"/>
        </w:rPr>
        <w:t>t</w:t>
      </w:r>
      <w:r w:rsidRPr="00491B7C">
        <w:rPr>
          <w:sz w:val="20"/>
        </w:rPr>
        <w:t>opography</w:t>
      </w:r>
      <w:r>
        <w:rPr>
          <w:sz w:val="20"/>
        </w:rPr>
        <w:t>,</w:t>
      </w:r>
      <w:r w:rsidRPr="00491B7C">
        <w:rPr>
          <w:sz w:val="20"/>
        </w:rPr>
        <w:t xml:space="preserve"> </w:t>
      </w:r>
      <w:r w:rsidRPr="00815E73">
        <w:rPr>
          <w:sz w:val="20"/>
        </w:rPr>
        <w:t xml:space="preserve">but different mechanical properties based on PEG </w:t>
      </w:r>
      <w:r>
        <w:rPr>
          <w:sz w:val="20"/>
        </w:rPr>
        <w:t>content, were</w:t>
      </w:r>
      <w:r w:rsidRPr="00491B7C">
        <w:rPr>
          <w:sz w:val="20"/>
        </w:rPr>
        <w:t xml:space="preserve"> created</w:t>
      </w:r>
      <w:r>
        <w:rPr>
          <w:sz w:val="20"/>
        </w:rPr>
        <w:t xml:space="preserve"> as indicated by SEM images. </w:t>
      </w:r>
      <w:r w:rsidRPr="00491B7C">
        <w:rPr>
          <w:sz w:val="20"/>
        </w:rPr>
        <w:t xml:space="preserve">The data provides a correlation between a </w:t>
      </w:r>
      <w:r>
        <w:rPr>
          <w:sz w:val="20"/>
        </w:rPr>
        <w:t>carrier’s</w:t>
      </w:r>
      <w:r w:rsidRPr="00491B7C">
        <w:rPr>
          <w:sz w:val="20"/>
        </w:rPr>
        <w:t xml:space="preserve"> sensitivity to </w:t>
      </w:r>
      <w:r>
        <w:rPr>
          <w:sz w:val="20"/>
        </w:rPr>
        <w:t>press-on forces</w:t>
      </w:r>
      <w:r w:rsidRPr="00491B7C">
        <w:rPr>
          <w:sz w:val="20"/>
        </w:rPr>
        <w:t xml:space="preserve"> and the rate at which the fine particle fraction (FPF) decreases</w:t>
      </w:r>
      <w:r>
        <w:rPr>
          <w:sz w:val="20"/>
        </w:rPr>
        <w:t xml:space="preserve"> with mixing time</w:t>
      </w:r>
      <w:r w:rsidRPr="00491B7C">
        <w:rPr>
          <w:sz w:val="20"/>
        </w:rPr>
        <w:t xml:space="preserve">. The </w:t>
      </w:r>
      <w:r>
        <w:rPr>
          <w:sz w:val="20"/>
        </w:rPr>
        <w:t>carrier</w:t>
      </w:r>
      <w:r w:rsidRPr="00491B7C">
        <w:rPr>
          <w:sz w:val="20"/>
        </w:rPr>
        <w:t xml:space="preserve"> with the highest </w:t>
      </w:r>
      <w:r>
        <w:rPr>
          <w:sz w:val="20"/>
        </w:rPr>
        <w:t xml:space="preserve">Young’s </w:t>
      </w:r>
      <w:r w:rsidRPr="00491B7C">
        <w:rPr>
          <w:sz w:val="20"/>
        </w:rPr>
        <w:t xml:space="preserve">modulus, indicating the lowest tendency for plastic deformation, exhibits the least </w:t>
      </w:r>
      <w:r>
        <w:rPr>
          <w:sz w:val="20"/>
        </w:rPr>
        <w:t xml:space="preserve">steep </w:t>
      </w:r>
      <w:r w:rsidRPr="00491B7C">
        <w:rPr>
          <w:sz w:val="20"/>
        </w:rPr>
        <w:t>decrease in FPF as mixing time progresses.</w:t>
      </w:r>
    </w:p>
    <w:p w14:paraId="02F0DE98" w14:textId="77777777" w:rsidR="004115AB" w:rsidRDefault="00491B7C" w:rsidP="004115AB">
      <w:pPr>
        <w:jc w:val="center"/>
        <w:rPr>
          <w:szCs w:val="18"/>
        </w:rPr>
      </w:pPr>
      <w:r>
        <w:rPr>
          <w:noProof/>
          <w:sz w:val="20"/>
          <w:lang w:val="en-US" w:eastAsia="zh-CN"/>
        </w:rPr>
        <w:lastRenderedPageBreak/>
        <w:drawing>
          <wp:inline distT="0" distB="0" distL="0" distR="0" wp14:anchorId="5515D1EE" wp14:editId="481E60A1">
            <wp:extent cx="4768850" cy="2588384"/>
            <wp:effectExtent l="0" t="0" r="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5">
                      <a:extLst>
                        <a:ext uri="{28A0092B-C50C-407E-A947-70E740481C1C}">
                          <a14:useLocalDpi xmlns:a14="http://schemas.microsoft.com/office/drawing/2010/main" val="0"/>
                        </a:ext>
                      </a:extLst>
                    </a:blip>
                    <a:stretch>
                      <a:fillRect/>
                    </a:stretch>
                  </pic:blipFill>
                  <pic:spPr>
                    <a:xfrm>
                      <a:off x="0" y="0"/>
                      <a:ext cx="4781854" cy="2595442"/>
                    </a:xfrm>
                    <a:prstGeom prst="rect">
                      <a:avLst/>
                    </a:prstGeom>
                  </pic:spPr>
                </pic:pic>
              </a:graphicData>
            </a:graphic>
          </wp:inline>
        </w:drawing>
      </w:r>
    </w:p>
    <w:p w14:paraId="5FA557E1" w14:textId="61ED53F2" w:rsidR="00491B7C" w:rsidRPr="004115AB" w:rsidRDefault="004115AB" w:rsidP="004115AB">
      <w:pPr>
        <w:rPr>
          <w:b/>
          <w:bCs/>
        </w:rPr>
      </w:pPr>
      <w:r w:rsidRPr="004115AB">
        <w:rPr>
          <w:b/>
          <w:bCs/>
          <w:szCs w:val="18"/>
        </w:rPr>
        <w:t>F</w:t>
      </w:r>
      <w:r w:rsidR="00491B7C" w:rsidRPr="004115AB">
        <w:rPr>
          <w:b/>
          <w:bCs/>
          <w:szCs w:val="18"/>
        </w:rPr>
        <w:t>igure 3 -</w:t>
      </w:r>
      <w:r>
        <w:rPr>
          <w:b/>
          <w:bCs/>
          <w:szCs w:val="18"/>
        </w:rPr>
        <w:t xml:space="preserve"> </w:t>
      </w:r>
      <w:r w:rsidR="00491B7C" w:rsidRPr="004115AB">
        <w:rPr>
          <w:b/>
          <w:bCs/>
          <w:szCs w:val="18"/>
        </w:rPr>
        <w:t>Raman mapping from INH70 carrier after shear stress in the mixer</w:t>
      </w:r>
      <w:r w:rsidR="00815E73" w:rsidRPr="004115AB">
        <w:rPr>
          <w:b/>
          <w:bCs/>
          <w:szCs w:val="18"/>
        </w:rPr>
        <w:t>, red areas were recogni</w:t>
      </w:r>
      <w:r w:rsidR="00870C26" w:rsidRPr="004115AB">
        <w:rPr>
          <w:b/>
          <w:bCs/>
          <w:szCs w:val="18"/>
        </w:rPr>
        <w:t>s</w:t>
      </w:r>
      <w:r w:rsidR="00815E73" w:rsidRPr="004115AB">
        <w:rPr>
          <w:b/>
          <w:bCs/>
          <w:szCs w:val="18"/>
        </w:rPr>
        <w:t>ed by the system as amorphous (matching the spray-dried amorphous reference), all other colours represent different crystal facets of the lactose</w:t>
      </w:r>
      <w:r w:rsidR="00413A2A" w:rsidRPr="004115AB">
        <w:rPr>
          <w:b/>
          <w:bCs/>
          <w:szCs w:val="18"/>
        </w:rPr>
        <w:t xml:space="preserve"> Tomahawk shaped crystalline reference</w:t>
      </w:r>
      <w:r w:rsidR="00815E73" w:rsidRPr="004115AB">
        <w:rPr>
          <w:b/>
          <w:bCs/>
          <w:szCs w:val="18"/>
        </w:rPr>
        <w:t xml:space="preserve"> </w:t>
      </w:r>
    </w:p>
    <w:p w14:paraId="2B99064F" w14:textId="2723CA98" w:rsidR="00491B7C" w:rsidRDefault="00491B7C" w:rsidP="004115AB">
      <w:pPr>
        <w:pStyle w:val="DDLBodyText"/>
        <w:spacing w:after="120"/>
        <w:rPr>
          <w:sz w:val="20"/>
        </w:rPr>
      </w:pPr>
      <w:r w:rsidRPr="00491B7C">
        <w:rPr>
          <w:sz w:val="20"/>
        </w:rPr>
        <w:t xml:space="preserve">This trend continues as the tendency for plastic deformation increases, </w:t>
      </w:r>
      <w:r w:rsidR="00413A2A">
        <w:rPr>
          <w:sz w:val="20"/>
        </w:rPr>
        <w:t>with increasing PEG content in the model carriers.</w:t>
      </w:r>
      <w:r w:rsidR="00E174A5">
        <w:rPr>
          <w:sz w:val="20"/>
        </w:rPr>
        <w:t xml:space="preserve"> </w:t>
      </w:r>
      <w:r w:rsidRPr="00491B7C">
        <w:rPr>
          <w:sz w:val="20"/>
        </w:rPr>
        <w:t xml:space="preserve">The mechanical properties of the carrier not only affect the steepness of the FPF decrease but also potentially impact the maximum achievable fine particle fraction. This consistency can be explained by the fact that </w:t>
      </w:r>
      <w:r>
        <w:rPr>
          <w:sz w:val="20"/>
        </w:rPr>
        <w:t>press-on</w:t>
      </w:r>
      <w:r w:rsidRPr="00491B7C">
        <w:rPr>
          <w:sz w:val="20"/>
        </w:rPr>
        <w:t xml:space="preserve"> forces </w:t>
      </w:r>
      <w:r>
        <w:rPr>
          <w:sz w:val="20"/>
        </w:rPr>
        <w:t>already come</w:t>
      </w:r>
      <w:r w:rsidRPr="00491B7C">
        <w:rPr>
          <w:sz w:val="20"/>
        </w:rPr>
        <w:t xml:space="preserve"> into play at the beginning of the mixing process, and the detachment behavio</w:t>
      </w:r>
      <w:r w:rsidR="00FE6606">
        <w:rPr>
          <w:sz w:val="20"/>
        </w:rPr>
        <w:t>u</w:t>
      </w:r>
      <w:r w:rsidRPr="00491B7C">
        <w:rPr>
          <w:sz w:val="20"/>
        </w:rPr>
        <w:t xml:space="preserve">r of the </w:t>
      </w:r>
      <w:r>
        <w:rPr>
          <w:sz w:val="20"/>
        </w:rPr>
        <w:t>API</w:t>
      </w:r>
      <w:r w:rsidRPr="00491B7C">
        <w:rPr>
          <w:sz w:val="20"/>
        </w:rPr>
        <w:t xml:space="preserve"> from the carrier is also influenced by inertial forces. </w:t>
      </w:r>
      <w:r w:rsidR="00877724" w:rsidRPr="00877724">
        <w:rPr>
          <w:sz w:val="20"/>
        </w:rPr>
        <w:t xml:space="preserve">The deformation behaviour of the particles plays into the so-called practical adhesion between the particles. According to this view, adhesion is therefore not only reduced to </w:t>
      </w:r>
      <w:r w:rsidR="00787612">
        <w:rPr>
          <w:sz w:val="20"/>
        </w:rPr>
        <w:t>the work of adhesion</w:t>
      </w:r>
      <w:r w:rsidR="00877724" w:rsidRPr="00877724">
        <w:rPr>
          <w:sz w:val="20"/>
        </w:rPr>
        <w:t xml:space="preserve"> (</w:t>
      </w:r>
      <w:proofErr w:type="gramStart"/>
      <w:r w:rsidR="00877724" w:rsidRPr="00877724">
        <w:rPr>
          <w:sz w:val="20"/>
        </w:rPr>
        <w:t>i.e.</w:t>
      </w:r>
      <w:proofErr w:type="gramEnd"/>
      <w:r w:rsidR="00877724" w:rsidRPr="00877724">
        <w:rPr>
          <w:sz w:val="20"/>
        </w:rPr>
        <w:t xml:space="preserve"> surface energy), but also includes the true contact </w:t>
      </w:r>
      <w:r w:rsidR="00877724">
        <w:rPr>
          <w:sz w:val="20"/>
        </w:rPr>
        <w:t>area</w:t>
      </w:r>
      <w:r w:rsidR="00877724" w:rsidRPr="00877724">
        <w:rPr>
          <w:sz w:val="20"/>
        </w:rPr>
        <w:t xml:space="preserve"> in the adhesion consideration, which is indeed dependent on the deformability of the particles</w:t>
      </w:r>
      <w:r w:rsidR="00787612">
        <w:rPr>
          <w:sz w:val="20"/>
        </w:rPr>
        <w:t xml:space="preserve"> [</w:t>
      </w:r>
      <w:r w:rsidR="00F80CFC">
        <w:rPr>
          <w:sz w:val="20"/>
        </w:rPr>
        <w:t>4</w:t>
      </w:r>
      <w:r w:rsidR="00787612">
        <w:rPr>
          <w:sz w:val="20"/>
        </w:rPr>
        <w:t>]</w:t>
      </w:r>
      <w:r w:rsidR="00877724" w:rsidRPr="00877724">
        <w:rPr>
          <w:sz w:val="20"/>
        </w:rPr>
        <w:t xml:space="preserve">. </w:t>
      </w:r>
      <w:r w:rsidRPr="00491B7C">
        <w:rPr>
          <w:sz w:val="20"/>
        </w:rPr>
        <w:t xml:space="preserve">Inertial forces cause </w:t>
      </w:r>
      <w:r>
        <w:rPr>
          <w:sz w:val="20"/>
        </w:rPr>
        <w:t>var</w:t>
      </w:r>
      <w:r w:rsidR="00FE6606">
        <w:rPr>
          <w:sz w:val="20"/>
        </w:rPr>
        <w:t>iability</w:t>
      </w:r>
      <w:r>
        <w:rPr>
          <w:sz w:val="20"/>
        </w:rPr>
        <w:t xml:space="preserve"> depending</w:t>
      </w:r>
      <w:r w:rsidRPr="00491B7C">
        <w:rPr>
          <w:sz w:val="20"/>
        </w:rPr>
        <w:t xml:space="preserve"> </w:t>
      </w:r>
      <w:r>
        <w:rPr>
          <w:sz w:val="20"/>
        </w:rPr>
        <w:t>on the attenuation upon particle collision</w:t>
      </w:r>
      <w:r w:rsidRPr="00491B7C">
        <w:rPr>
          <w:sz w:val="20"/>
        </w:rPr>
        <w:t xml:space="preserve">, which differs between plastically deformable particles and </w:t>
      </w:r>
      <w:r w:rsidR="00815E73">
        <w:rPr>
          <w:sz w:val="20"/>
        </w:rPr>
        <w:t xml:space="preserve">brittle </w:t>
      </w:r>
      <w:r w:rsidRPr="00491B7C">
        <w:rPr>
          <w:sz w:val="20"/>
        </w:rPr>
        <w:t>particles.</w:t>
      </w:r>
      <w:r>
        <w:rPr>
          <w:sz w:val="20"/>
        </w:rPr>
        <w:t xml:space="preserve"> </w:t>
      </w:r>
      <w:r w:rsidRPr="00B35874">
        <w:rPr>
          <w:sz w:val="20"/>
        </w:rPr>
        <w:t xml:space="preserve">The lactose, being a brittle and hard carrier, undergoes </w:t>
      </w:r>
      <w:r w:rsidR="00FE6606" w:rsidRPr="00B35874">
        <w:rPr>
          <w:sz w:val="20"/>
        </w:rPr>
        <w:t>crushing</w:t>
      </w:r>
      <w:r w:rsidR="000E76EC" w:rsidRPr="00B35874">
        <w:rPr>
          <w:sz w:val="20"/>
        </w:rPr>
        <w:t>, abrasion</w:t>
      </w:r>
      <w:r w:rsidR="00FE6606" w:rsidRPr="00B35874">
        <w:rPr>
          <w:sz w:val="20"/>
        </w:rPr>
        <w:t xml:space="preserve"> and </w:t>
      </w:r>
      <w:r w:rsidRPr="00B35874">
        <w:rPr>
          <w:sz w:val="20"/>
        </w:rPr>
        <w:t xml:space="preserve">surface </w:t>
      </w:r>
      <w:proofErr w:type="spellStart"/>
      <w:r w:rsidRPr="00B35874">
        <w:rPr>
          <w:sz w:val="20"/>
        </w:rPr>
        <w:t>amorphi</w:t>
      </w:r>
      <w:r w:rsidR="00815E73" w:rsidRPr="00B35874">
        <w:rPr>
          <w:sz w:val="20"/>
        </w:rPr>
        <w:t>s</w:t>
      </w:r>
      <w:r w:rsidRPr="00B35874">
        <w:rPr>
          <w:sz w:val="20"/>
        </w:rPr>
        <w:t>ation</w:t>
      </w:r>
      <w:proofErr w:type="spellEnd"/>
      <w:r w:rsidRPr="00B35874">
        <w:rPr>
          <w:sz w:val="20"/>
        </w:rPr>
        <w:t xml:space="preserve"> when subjected to shear stress, as indicated by Raman microscopy.</w:t>
      </w:r>
      <w:r w:rsidR="00815E73" w:rsidRPr="00B35874">
        <w:rPr>
          <w:sz w:val="20"/>
        </w:rPr>
        <w:t xml:space="preserve"> </w:t>
      </w:r>
      <w:r w:rsidRPr="00B35874">
        <w:rPr>
          <w:sz w:val="20"/>
        </w:rPr>
        <w:t xml:space="preserve">This </w:t>
      </w:r>
      <w:proofErr w:type="spellStart"/>
      <w:r w:rsidRPr="00B35874">
        <w:rPr>
          <w:sz w:val="20"/>
        </w:rPr>
        <w:t>amorphi</w:t>
      </w:r>
      <w:r w:rsidR="00815E73" w:rsidRPr="00B35874">
        <w:rPr>
          <w:sz w:val="20"/>
        </w:rPr>
        <w:t>s</w:t>
      </w:r>
      <w:r w:rsidRPr="00B35874">
        <w:rPr>
          <w:sz w:val="20"/>
        </w:rPr>
        <w:t>ation</w:t>
      </w:r>
      <w:proofErr w:type="spellEnd"/>
      <w:r w:rsidRPr="00B35874">
        <w:rPr>
          <w:sz w:val="20"/>
        </w:rPr>
        <w:t xml:space="preserve"> of the surface potentially results in an increase in surface energy and thus </w:t>
      </w:r>
      <w:r w:rsidR="00815E73" w:rsidRPr="00B35874">
        <w:rPr>
          <w:sz w:val="20"/>
        </w:rPr>
        <w:t>a</w:t>
      </w:r>
      <w:r w:rsidR="00FE6606" w:rsidRPr="00B35874">
        <w:rPr>
          <w:sz w:val="20"/>
        </w:rPr>
        <w:t xml:space="preserve"> </w:t>
      </w:r>
      <w:r w:rsidRPr="00B35874">
        <w:rPr>
          <w:sz w:val="20"/>
        </w:rPr>
        <w:t xml:space="preserve">change in aerodynamic performance. Additionally, this </w:t>
      </w:r>
      <w:proofErr w:type="spellStart"/>
      <w:r w:rsidRPr="00B35874">
        <w:rPr>
          <w:sz w:val="20"/>
        </w:rPr>
        <w:t>amorphi</w:t>
      </w:r>
      <w:r w:rsidR="00815E73" w:rsidRPr="00B35874">
        <w:rPr>
          <w:sz w:val="20"/>
        </w:rPr>
        <w:t>s</w:t>
      </w:r>
      <w:r w:rsidRPr="00B35874">
        <w:rPr>
          <w:sz w:val="20"/>
        </w:rPr>
        <w:t>ation</w:t>
      </w:r>
      <w:proofErr w:type="spellEnd"/>
      <w:r w:rsidRPr="00B35874">
        <w:rPr>
          <w:sz w:val="20"/>
        </w:rPr>
        <w:t xml:space="preserve"> raises concerns about potential stability issues arising from recrystalli</w:t>
      </w:r>
      <w:r w:rsidR="00FE6606" w:rsidRPr="00B35874">
        <w:rPr>
          <w:sz w:val="20"/>
        </w:rPr>
        <w:t>s</w:t>
      </w:r>
      <w:r w:rsidRPr="00B35874">
        <w:rPr>
          <w:sz w:val="20"/>
        </w:rPr>
        <w:t>ation</w:t>
      </w:r>
      <w:r w:rsidR="00787612">
        <w:rPr>
          <w:sz w:val="20"/>
        </w:rPr>
        <w:t xml:space="preserve">. </w:t>
      </w:r>
      <w:r w:rsidR="00E174A5">
        <w:rPr>
          <w:sz w:val="20"/>
        </w:rPr>
        <w:t xml:space="preserve">The </w:t>
      </w:r>
      <w:r w:rsidR="004401A0" w:rsidRPr="004401A0">
        <w:rPr>
          <w:sz w:val="20"/>
        </w:rPr>
        <w:t xml:space="preserve">practical </w:t>
      </w:r>
      <w:r w:rsidR="00E174A5">
        <w:rPr>
          <w:sz w:val="20"/>
        </w:rPr>
        <w:t>conclusion lies in the intensive study and control of the blending process.</w:t>
      </w:r>
      <w:r w:rsidR="004401A0">
        <w:rPr>
          <w:sz w:val="20"/>
        </w:rPr>
        <w:t xml:space="preserve"> </w:t>
      </w:r>
      <w:r w:rsidR="000E76EC" w:rsidRPr="000E76EC">
        <w:rPr>
          <w:sz w:val="20"/>
        </w:rPr>
        <w:t xml:space="preserve">Thus, it can be postulated that for soft materials press-on forces cause a change in the aerodynamic performance due to plastic deformation of the particles, whereas for hard materials abrasion, friction and surface amorphization are more likely to cause a change in the profile. </w:t>
      </w:r>
      <w:r w:rsidRPr="00B35874">
        <w:rPr>
          <w:sz w:val="20"/>
        </w:rPr>
        <w:t xml:space="preserve">Further research in this area </w:t>
      </w:r>
      <w:r w:rsidR="00FE6606" w:rsidRPr="00B35874">
        <w:rPr>
          <w:sz w:val="20"/>
        </w:rPr>
        <w:t>is needed to fully elucidate the impact of mechanical properties</w:t>
      </w:r>
      <w:r w:rsidRPr="00B35874">
        <w:rPr>
          <w:sz w:val="20"/>
        </w:rPr>
        <w:t>.</w:t>
      </w:r>
    </w:p>
    <w:p w14:paraId="18240433" w14:textId="7D0CBBEC" w:rsidR="00FE6606" w:rsidRPr="00815E73" w:rsidRDefault="00FE6606" w:rsidP="004115AB">
      <w:pPr>
        <w:pStyle w:val="DDLBodyText"/>
        <w:spacing w:after="120"/>
        <w:rPr>
          <w:b/>
          <w:bCs/>
          <w:sz w:val="20"/>
        </w:rPr>
      </w:pPr>
      <w:r w:rsidRPr="00815E73">
        <w:rPr>
          <w:b/>
          <w:bCs/>
          <w:sz w:val="20"/>
        </w:rPr>
        <w:t>Conclusion</w:t>
      </w:r>
    </w:p>
    <w:p w14:paraId="30E9BFC2" w14:textId="5704BE3E" w:rsidR="00BD6660" w:rsidRDefault="00B35874" w:rsidP="004115AB">
      <w:pPr>
        <w:pStyle w:val="DDLBodyText"/>
        <w:spacing w:after="120"/>
        <w:rPr>
          <w:sz w:val="20"/>
        </w:rPr>
      </w:pPr>
      <w:r>
        <w:rPr>
          <w:sz w:val="20"/>
        </w:rPr>
        <w:t xml:space="preserve">While </w:t>
      </w:r>
      <w:r w:rsidR="00491B7C" w:rsidRPr="00491B7C">
        <w:rPr>
          <w:sz w:val="20"/>
        </w:rPr>
        <w:t xml:space="preserve">the mechanical properties have been extensively considered in other pharmaceutical processes like tableting and hold significant importance, they have often been neglected in the context of inhalation. Our work aims to shed light on this crucial factor that can greatly influence the </w:t>
      </w:r>
      <w:r w:rsidR="00815E73">
        <w:rPr>
          <w:sz w:val="20"/>
        </w:rPr>
        <w:t>aerodynamic performance of DPIs w</w:t>
      </w:r>
      <w:r w:rsidR="00491B7C" w:rsidRPr="00491B7C">
        <w:rPr>
          <w:sz w:val="20"/>
        </w:rPr>
        <w:t xml:space="preserve">hen closely </w:t>
      </w:r>
      <w:r w:rsidR="00815E73">
        <w:rPr>
          <w:sz w:val="20"/>
        </w:rPr>
        <w:t>controlled.</w:t>
      </w:r>
      <w:r w:rsidR="00491B7C" w:rsidRPr="00491B7C">
        <w:rPr>
          <w:sz w:val="20"/>
        </w:rPr>
        <w:t xml:space="preserve"> The applicability of our findings to inhalation-relevant excipients will be determined in future studies.</w:t>
      </w:r>
    </w:p>
    <w:p w14:paraId="57DCC0FB" w14:textId="77777777" w:rsidR="007D307A" w:rsidRDefault="007D307A" w:rsidP="004115AB">
      <w:pPr>
        <w:pStyle w:val="DDLHeading1"/>
        <w:spacing w:after="0"/>
      </w:pPr>
      <w:r w:rsidRPr="00BD68AD">
        <w:t>References</w:t>
      </w:r>
    </w:p>
    <w:p w14:paraId="6D1DD6A4" w14:textId="134F491D" w:rsidR="00491B7C" w:rsidRPr="00491B7C" w:rsidRDefault="00491B7C" w:rsidP="004115AB">
      <w:pPr>
        <w:pStyle w:val="DDLBodyText"/>
        <w:spacing w:after="0"/>
      </w:pPr>
      <w:r w:rsidRPr="00491B7C">
        <w:t>[</w:t>
      </w:r>
      <w:r w:rsidR="00F80CFC">
        <w:t>1</w:t>
      </w:r>
      <w:r w:rsidRPr="00491B7C">
        <w:t>]</w:t>
      </w:r>
      <w:r w:rsidRPr="00491B7C">
        <w:tab/>
      </w:r>
      <w:proofErr w:type="spellStart"/>
      <w:r w:rsidRPr="00491B7C">
        <w:t>Podczeck</w:t>
      </w:r>
      <w:proofErr w:type="spellEnd"/>
      <w:r w:rsidRPr="00491B7C">
        <w:t xml:space="preserve"> F, Newton JM. Development of an ultracentrifuge technique to determine the adhesion and friction properties between particles and surfaces. J Pharm Sci. 1995;84(9):1067–1071</w:t>
      </w:r>
    </w:p>
    <w:p w14:paraId="57DCC100" w14:textId="20545B77" w:rsidR="00A515A9" w:rsidRDefault="00491B7C" w:rsidP="004115AB">
      <w:pPr>
        <w:pStyle w:val="DDLBodyText"/>
        <w:spacing w:after="0"/>
        <w:jc w:val="left"/>
      </w:pPr>
      <w:r w:rsidRPr="00491B7C">
        <w:t>[</w:t>
      </w:r>
      <w:r w:rsidR="00F80CFC">
        <w:t>2</w:t>
      </w:r>
      <w:r w:rsidRPr="00491B7C">
        <w:t>]</w:t>
      </w:r>
      <w:r w:rsidRPr="00491B7C">
        <w:tab/>
        <w:t>Hertel M, Schwarz E, Kobler M, Hauptstein S, Steckel H, Scherliess R. The influence of high shear mixing on ternary dry powder inhaler formulations. Int J Pharm. 2017;534(1–2):242–250</w:t>
      </w:r>
    </w:p>
    <w:p w14:paraId="60B63FD5" w14:textId="0712EDD0" w:rsidR="00491B7C" w:rsidRDefault="00491B7C" w:rsidP="004115AB">
      <w:pPr>
        <w:pStyle w:val="DDLBodyText"/>
        <w:spacing w:after="0"/>
      </w:pPr>
      <w:r w:rsidRPr="00491B7C">
        <w:t>[</w:t>
      </w:r>
      <w:r w:rsidR="00F80CFC">
        <w:t>3</w:t>
      </w:r>
      <w:r w:rsidRPr="00491B7C">
        <w:t>]</w:t>
      </w:r>
      <w:r w:rsidRPr="00491B7C">
        <w:tab/>
        <w:t xml:space="preserve">Thalberg K, Åslund S, </w:t>
      </w:r>
      <w:proofErr w:type="spellStart"/>
      <w:r w:rsidRPr="00491B7C">
        <w:t>Skogevall</w:t>
      </w:r>
      <w:proofErr w:type="spellEnd"/>
      <w:r w:rsidRPr="00491B7C">
        <w:t xml:space="preserve"> M, Andersson P. Dispersibility of lactose fines as compared to API in dry powders for inhalation. Int J Pharm. </w:t>
      </w:r>
      <w:proofErr w:type="gramStart"/>
      <w:r w:rsidRPr="00491B7C">
        <w:t>2016;504:27</w:t>
      </w:r>
      <w:proofErr w:type="gramEnd"/>
      <w:r w:rsidRPr="00491B7C">
        <w:t>–38.</w:t>
      </w:r>
    </w:p>
    <w:p w14:paraId="678075CB" w14:textId="3F51E418" w:rsidR="00787612" w:rsidRDefault="00787612" w:rsidP="004115AB">
      <w:pPr>
        <w:pStyle w:val="DDLBodyText"/>
        <w:spacing w:after="0"/>
      </w:pPr>
      <w:r>
        <w:t>[</w:t>
      </w:r>
      <w:r w:rsidR="00F80CFC">
        <w:t>4</w:t>
      </w:r>
      <w:r>
        <w:t>]</w:t>
      </w:r>
      <w:r>
        <w:tab/>
      </w:r>
      <w:r w:rsidR="00F80CFC">
        <w:t>Dillard David A. Advances in Structural Adhesive Bonding, 13 - Improving adhesive joint design using fracture mechanics. Woodhead Publishing in Materials, 2010:350-388</w:t>
      </w:r>
    </w:p>
    <w:p w14:paraId="257BD4FA" w14:textId="77777777" w:rsidR="00787612" w:rsidRPr="001C1A34" w:rsidRDefault="00787612" w:rsidP="00491B7C">
      <w:pPr>
        <w:pStyle w:val="DDLBodyText"/>
      </w:pPr>
    </w:p>
    <w:sectPr w:rsidR="00787612" w:rsidRPr="001C1A34" w:rsidSect="00660395">
      <w:headerReference w:type="even" r:id="rId16"/>
      <w:headerReference w:type="default" r:id="rId17"/>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7BB20" w14:textId="77777777" w:rsidR="00540897" w:rsidRDefault="00540897" w:rsidP="00A515A9">
      <w:pPr>
        <w:spacing w:after="0"/>
      </w:pPr>
      <w:r>
        <w:separator/>
      </w:r>
    </w:p>
  </w:endnote>
  <w:endnote w:type="continuationSeparator" w:id="0">
    <w:p w14:paraId="187F783E" w14:textId="77777777" w:rsidR="00540897" w:rsidRDefault="00540897"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093B0" w14:textId="77777777" w:rsidR="00540897" w:rsidRDefault="00540897" w:rsidP="00A515A9">
      <w:pPr>
        <w:spacing w:after="0"/>
      </w:pPr>
      <w:r>
        <w:separator/>
      </w:r>
    </w:p>
  </w:footnote>
  <w:footnote w:type="continuationSeparator" w:id="0">
    <w:p w14:paraId="02BB6BDC" w14:textId="77777777" w:rsidR="00540897" w:rsidRDefault="00540897"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13C6AC45"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9F0253">
      <w:rPr>
        <w:i/>
      </w:rPr>
      <w:t>4</w:t>
    </w:r>
    <w:r w:rsidR="008C5C57" w:rsidRPr="003C58EE">
      <w:rPr>
        <w:i/>
      </w:rPr>
      <w:t>,</w:t>
    </w:r>
    <w:r w:rsidR="00964A86" w:rsidRPr="003C58EE">
      <w:rPr>
        <w:i/>
      </w:rPr>
      <w:t xml:space="preserve"> 20</w:t>
    </w:r>
    <w:r w:rsidR="00F27E20" w:rsidRPr="003C58EE">
      <w:rPr>
        <w:i/>
      </w:rPr>
      <w:t>2</w:t>
    </w:r>
    <w:r w:rsidR="009F0253">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824507113"/>
        <w:lock w:val="sdtLocked"/>
        <w:placeholder>
          <w:docPart w:val="C34DD2AC9C93457FA1A053324FCC48C3"/>
        </w:placeholder>
      </w:sdtPr>
      <w:sdtEndPr>
        <w:rPr>
          <w:i w:val="0"/>
        </w:rPr>
      </w:sdtEndPr>
      <w:sdtContent>
        <w:r w:rsidR="0004362D" w:rsidRPr="0004362D">
          <w:rPr>
            <w:rStyle w:val="PlaceholderText"/>
            <w:i/>
            <w:color w:val="auto"/>
          </w:rPr>
          <w:t>The role of mechanical</w:t>
        </w:r>
        <w:r w:rsidR="0004362D" w:rsidRPr="0004362D">
          <w:rPr>
            <w:rStyle w:val="PlaceholderText"/>
            <w:i/>
          </w:rPr>
          <w:t xml:space="preserve"> </w:t>
        </w:r>
        <w:r w:rsidR="0004362D" w:rsidRPr="0004362D">
          <w:rPr>
            <w:rStyle w:val="PlaceholderText"/>
            <w:color w:val="auto"/>
          </w:rPr>
          <w:t>properties in DPI Carriers</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7F3FE36F"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82210905"/>
        <w:lock w:val="sdtLocked"/>
        <w:placeholder>
          <w:docPart w:val="2C0E9E1FBB7D49ADB6AB4150F08DDB35"/>
        </w:placeholder>
      </w:sdtPr>
      <w:sdtEndPr>
        <w:rPr>
          <w:rStyle w:val="PlaceholderText"/>
          <w:color w:val="808080"/>
        </w:rPr>
      </w:sdtEndPr>
      <w:sdtContent>
        <w:proofErr w:type="spellStart"/>
        <w:r w:rsidR="0004362D" w:rsidRPr="0004362D">
          <w:rPr>
            <w:rStyle w:val="PlaceholderText"/>
            <w:i/>
            <w:color w:val="auto"/>
          </w:rPr>
          <w:t>Zeredescht</w:t>
        </w:r>
        <w:proofErr w:type="spellEnd"/>
        <w:r w:rsidR="0004362D" w:rsidRPr="0004362D">
          <w:rPr>
            <w:rStyle w:val="PlaceholderText"/>
            <w:i/>
            <w:color w:val="auto"/>
          </w:rPr>
          <w:t xml:space="preserve"> Majid</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874414699">
    <w:abstractNumId w:val="4"/>
  </w:num>
  <w:num w:numId="2" w16cid:durableId="1507944507">
    <w:abstractNumId w:val="0"/>
  </w:num>
  <w:num w:numId="3" w16cid:durableId="2020040335">
    <w:abstractNumId w:val="2"/>
  </w:num>
  <w:num w:numId="4" w16cid:durableId="1392189905">
    <w:abstractNumId w:val="3"/>
  </w:num>
  <w:num w:numId="5" w16cid:durableId="8679094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616D"/>
    <w:rsid w:val="00016641"/>
    <w:rsid w:val="00032260"/>
    <w:rsid w:val="00042D62"/>
    <w:rsid w:val="0004362D"/>
    <w:rsid w:val="00054372"/>
    <w:rsid w:val="0006467A"/>
    <w:rsid w:val="000A2590"/>
    <w:rsid w:val="000A5A12"/>
    <w:rsid w:val="000D1C2E"/>
    <w:rsid w:val="000E76EC"/>
    <w:rsid w:val="000E77D5"/>
    <w:rsid w:val="0012224E"/>
    <w:rsid w:val="00134FB6"/>
    <w:rsid w:val="001516A0"/>
    <w:rsid w:val="00160344"/>
    <w:rsid w:val="001604DB"/>
    <w:rsid w:val="0016233A"/>
    <w:rsid w:val="00183737"/>
    <w:rsid w:val="001942DB"/>
    <w:rsid w:val="001B0E1B"/>
    <w:rsid w:val="001C1A34"/>
    <w:rsid w:val="001D3F96"/>
    <w:rsid w:val="001F1471"/>
    <w:rsid w:val="001F70F6"/>
    <w:rsid w:val="001F79B3"/>
    <w:rsid w:val="00202EAD"/>
    <w:rsid w:val="00217845"/>
    <w:rsid w:val="00231C18"/>
    <w:rsid w:val="002666D8"/>
    <w:rsid w:val="00283F05"/>
    <w:rsid w:val="002878E0"/>
    <w:rsid w:val="00287EA3"/>
    <w:rsid w:val="0029067A"/>
    <w:rsid w:val="002A298F"/>
    <w:rsid w:val="002A3E34"/>
    <w:rsid w:val="002B74ED"/>
    <w:rsid w:val="002E77AE"/>
    <w:rsid w:val="002F38E3"/>
    <w:rsid w:val="00311E4A"/>
    <w:rsid w:val="0031528C"/>
    <w:rsid w:val="00323FE7"/>
    <w:rsid w:val="0033185B"/>
    <w:rsid w:val="00344D82"/>
    <w:rsid w:val="0034725F"/>
    <w:rsid w:val="00387ECA"/>
    <w:rsid w:val="0039248E"/>
    <w:rsid w:val="003B1031"/>
    <w:rsid w:val="003B383B"/>
    <w:rsid w:val="003B65D1"/>
    <w:rsid w:val="003C568E"/>
    <w:rsid w:val="003C58EE"/>
    <w:rsid w:val="003C6A3B"/>
    <w:rsid w:val="003D0A8E"/>
    <w:rsid w:val="003D10FC"/>
    <w:rsid w:val="003D3DDE"/>
    <w:rsid w:val="003D7C47"/>
    <w:rsid w:val="003E5D10"/>
    <w:rsid w:val="003F37A9"/>
    <w:rsid w:val="00404A4E"/>
    <w:rsid w:val="0040614F"/>
    <w:rsid w:val="0041018A"/>
    <w:rsid w:val="004115AB"/>
    <w:rsid w:val="00413A2A"/>
    <w:rsid w:val="00424C98"/>
    <w:rsid w:val="00427F09"/>
    <w:rsid w:val="004401A0"/>
    <w:rsid w:val="00442036"/>
    <w:rsid w:val="00444A63"/>
    <w:rsid w:val="00447700"/>
    <w:rsid w:val="00460E3F"/>
    <w:rsid w:val="00490C5A"/>
    <w:rsid w:val="00491B7C"/>
    <w:rsid w:val="00496006"/>
    <w:rsid w:val="004A684A"/>
    <w:rsid w:val="004B2051"/>
    <w:rsid w:val="004B6D88"/>
    <w:rsid w:val="004C1847"/>
    <w:rsid w:val="004F7E1D"/>
    <w:rsid w:val="004F7F64"/>
    <w:rsid w:val="005302DC"/>
    <w:rsid w:val="005303CA"/>
    <w:rsid w:val="005357DB"/>
    <w:rsid w:val="00540897"/>
    <w:rsid w:val="00541F41"/>
    <w:rsid w:val="00544864"/>
    <w:rsid w:val="00544E0B"/>
    <w:rsid w:val="00544FB7"/>
    <w:rsid w:val="00565D5A"/>
    <w:rsid w:val="005812EF"/>
    <w:rsid w:val="00582113"/>
    <w:rsid w:val="00591DC8"/>
    <w:rsid w:val="00593A46"/>
    <w:rsid w:val="00596663"/>
    <w:rsid w:val="005B1DD6"/>
    <w:rsid w:val="005B5FD9"/>
    <w:rsid w:val="005C1557"/>
    <w:rsid w:val="005D1383"/>
    <w:rsid w:val="005D441D"/>
    <w:rsid w:val="005F4472"/>
    <w:rsid w:val="006047B7"/>
    <w:rsid w:val="00613573"/>
    <w:rsid w:val="006220F6"/>
    <w:rsid w:val="00623DF2"/>
    <w:rsid w:val="00631B86"/>
    <w:rsid w:val="00642787"/>
    <w:rsid w:val="00660395"/>
    <w:rsid w:val="00671088"/>
    <w:rsid w:val="00676DA7"/>
    <w:rsid w:val="00677708"/>
    <w:rsid w:val="00686D0B"/>
    <w:rsid w:val="00697AE7"/>
    <w:rsid w:val="006A7D26"/>
    <w:rsid w:val="006B12B5"/>
    <w:rsid w:val="006B3D22"/>
    <w:rsid w:val="006E1C6F"/>
    <w:rsid w:val="006F0288"/>
    <w:rsid w:val="0070763C"/>
    <w:rsid w:val="00711C1F"/>
    <w:rsid w:val="00715F4B"/>
    <w:rsid w:val="007620A4"/>
    <w:rsid w:val="007735FD"/>
    <w:rsid w:val="00774E51"/>
    <w:rsid w:val="00781E78"/>
    <w:rsid w:val="0078212D"/>
    <w:rsid w:val="00784010"/>
    <w:rsid w:val="007864F3"/>
    <w:rsid w:val="00787612"/>
    <w:rsid w:val="00787F68"/>
    <w:rsid w:val="007B2BEC"/>
    <w:rsid w:val="007B38B6"/>
    <w:rsid w:val="007D307A"/>
    <w:rsid w:val="007E2F09"/>
    <w:rsid w:val="007E4351"/>
    <w:rsid w:val="00804EEB"/>
    <w:rsid w:val="008050EA"/>
    <w:rsid w:val="00815E73"/>
    <w:rsid w:val="00821655"/>
    <w:rsid w:val="00830C33"/>
    <w:rsid w:val="00836B77"/>
    <w:rsid w:val="00837ED2"/>
    <w:rsid w:val="008443EE"/>
    <w:rsid w:val="00844902"/>
    <w:rsid w:val="0084598F"/>
    <w:rsid w:val="00852676"/>
    <w:rsid w:val="00860916"/>
    <w:rsid w:val="00870B52"/>
    <w:rsid w:val="00870C26"/>
    <w:rsid w:val="00877724"/>
    <w:rsid w:val="00881895"/>
    <w:rsid w:val="00881AD8"/>
    <w:rsid w:val="008B02F1"/>
    <w:rsid w:val="008B1B97"/>
    <w:rsid w:val="008B4BF0"/>
    <w:rsid w:val="008C5C57"/>
    <w:rsid w:val="008C7F2D"/>
    <w:rsid w:val="008D115B"/>
    <w:rsid w:val="008D4D8B"/>
    <w:rsid w:val="008D7F19"/>
    <w:rsid w:val="008F2A41"/>
    <w:rsid w:val="00930DA1"/>
    <w:rsid w:val="0093458B"/>
    <w:rsid w:val="00941946"/>
    <w:rsid w:val="00952BDA"/>
    <w:rsid w:val="0095324F"/>
    <w:rsid w:val="00964A86"/>
    <w:rsid w:val="00966CD3"/>
    <w:rsid w:val="00974E37"/>
    <w:rsid w:val="009818AC"/>
    <w:rsid w:val="00990C1E"/>
    <w:rsid w:val="00996628"/>
    <w:rsid w:val="009A0009"/>
    <w:rsid w:val="009A1638"/>
    <w:rsid w:val="009A4453"/>
    <w:rsid w:val="009A52B9"/>
    <w:rsid w:val="009A5E01"/>
    <w:rsid w:val="009C6C08"/>
    <w:rsid w:val="009D1A31"/>
    <w:rsid w:val="009D1CB7"/>
    <w:rsid w:val="009D5953"/>
    <w:rsid w:val="009D77B3"/>
    <w:rsid w:val="009E7542"/>
    <w:rsid w:val="009F0253"/>
    <w:rsid w:val="009F0A59"/>
    <w:rsid w:val="00A0358B"/>
    <w:rsid w:val="00A13504"/>
    <w:rsid w:val="00A14F14"/>
    <w:rsid w:val="00A46DAE"/>
    <w:rsid w:val="00A515A9"/>
    <w:rsid w:val="00A666CE"/>
    <w:rsid w:val="00A67298"/>
    <w:rsid w:val="00A7548F"/>
    <w:rsid w:val="00A94905"/>
    <w:rsid w:val="00AA1175"/>
    <w:rsid w:val="00AA66AA"/>
    <w:rsid w:val="00AA74BE"/>
    <w:rsid w:val="00AA7899"/>
    <w:rsid w:val="00AC04A2"/>
    <w:rsid w:val="00AD115D"/>
    <w:rsid w:val="00AD25A5"/>
    <w:rsid w:val="00B122AD"/>
    <w:rsid w:val="00B13664"/>
    <w:rsid w:val="00B25B95"/>
    <w:rsid w:val="00B35874"/>
    <w:rsid w:val="00B412B3"/>
    <w:rsid w:val="00B42A7F"/>
    <w:rsid w:val="00B44DF3"/>
    <w:rsid w:val="00B5120E"/>
    <w:rsid w:val="00B54843"/>
    <w:rsid w:val="00B55646"/>
    <w:rsid w:val="00B719D1"/>
    <w:rsid w:val="00B804AB"/>
    <w:rsid w:val="00B906A5"/>
    <w:rsid w:val="00B94313"/>
    <w:rsid w:val="00BB2738"/>
    <w:rsid w:val="00BB33A4"/>
    <w:rsid w:val="00BB3A29"/>
    <w:rsid w:val="00BB62D3"/>
    <w:rsid w:val="00BC0021"/>
    <w:rsid w:val="00BC30C2"/>
    <w:rsid w:val="00BC3B49"/>
    <w:rsid w:val="00BC446A"/>
    <w:rsid w:val="00BD6660"/>
    <w:rsid w:val="00BD68AD"/>
    <w:rsid w:val="00BD70D3"/>
    <w:rsid w:val="00BD7DE3"/>
    <w:rsid w:val="00BE6DBC"/>
    <w:rsid w:val="00C0074A"/>
    <w:rsid w:val="00C01D45"/>
    <w:rsid w:val="00C0283C"/>
    <w:rsid w:val="00C126B9"/>
    <w:rsid w:val="00C14F0C"/>
    <w:rsid w:val="00C52F97"/>
    <w:rsid w:val="00C543B6"/>
    <w:rsid w:val="00C5513E"/>
    <w:rsid w:val="00C65A37"/>
    <w:rsid w:val="00C6681A"/>
    <w:rsid w:val="00C71721"/>
    <w:rsid w:val="00C974E1"/>
    <w:rsid w:val="00CC1B69"/>
    <w:rsid w:val="00CE39C8"/>
    <w:rsid w:val="00CF24A7"/>
    <w:rsid w:val="00CF7D1B"/>
    <w:rsid w:val="00D05045"/>
    <w:rsid w:val="00D075F7"/>
    <w:rsid w:val="00D1209B"/>
    <w:rsid w:val="00D156FE"/>
    <w:rsid w:val="00D23C41"/>
    <w:rsid w:val="00D26210"/>
    <w:rsid w:val="00D41A7C"/>
    <w:rsid w:val="00D47884"/>
    <w:rsid w:val="00D54376"/>
    <w:rsid w:val="00D566D3"/>
    <w:rsid w:val="00D67A60"/>
    <w:rsid w:val="00D85CE6"/>
    <w:rsid w:val="00D93537"/>
    <w:rsid w:val="00D9655E"/>
    <w:rsid w:val="00DB349E"/>
    <w:rsid w:val="00DD4A2D"/>
    <w:rsid w:val="00DD5EB8"/>
    <w:rsid w:val="00DD6C15"/>
    <w:rsid w:val="00DE0973"/>
    <w:rsid w:val="00DE53F7"/>
    <w:rsid w:val="00DE6AE7"/>
    <w:rsid w:val="00DF1745"/>
    <w:rsid w:val="00DF392A"/>
    <w:rsid w:val="00E00624"/>
    <w:rsid w:val="00E108CE"/>
    <w:rsid w:val="00E14DBF"/>
    <w:rsid w:val="00E174A5"/>
    <w:rsid w:val="00E266DF"/>
    <w:rsid w:val="00E42834"/>
    <w:rsid w:val="00E42945"/>
    <w:rsid w:val="00E51903"/>
    <w:rsid w:val="00E61628"/>
    <w:rsid w:val="00E62590"/>
    <w:rsid w:val="00E92FCA"/>
    <w:rsid w:val="00E9667D"/>
    <w:rsid w:val="00E97489"/>
    <w:rsid w:val="00EA16F8"/>
    <w:rsid w:val="00EA530D"/>
    <w:rsid w:val="00EA7B10"/>
    <w:rsid w:val="00EC2143"/>
    <w:rsid w:val="00ED747C"/>
    <w:rsid w:val="00EE7503"/>
    <w:rsid w:val="00EF60F4"/>
    <w:rsid w:val="00F15D45"/>
    <w:rsid w:val="00F20F19"/>
    <w:rsid w:val="00F2495D"/>
    <w:rsid w:val="00F27E20"/>
    <w:rsid w:val="00F3080A"/>
    <w:rsid w:val="00F423EA"/>
    <w:rsid w:val="00F435EA"/>
    <w:rsid w:val="00F65F99"/>
    <w:rsid w:val="00F80CFC"/>
    <w:rsid w:val="00FA6F23"/>
    <w:rsid w:val="00FC33BA"/>
    <w:rsid w:val="00FD125D"/>
    <w:rsid w:val="00FE2845"/>
    <w:rsid w:val="00FE2EE6"/>
    <w:rsid w:val="00FE660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table" w:styleId="TableGrid">
    <w:name w:val="Table Grid"/>
    <w:basedOn w:val="TableNormal"/>
    <w:uiPriority w:val="59"/>
    <w:rsid w:val="00BC4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212153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Mappe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Formulation2</c:v>
          </c:tx>
          <c:spPr>
            <a:ln w="25400" cap="rnd">
              <a:noFill/>
              <a:round/>
            </a:ln>
            <a:effectLst/>
          </c:spPr>
          <c:marker>
            <c:symbol val="diamond"/>
            <c:size val="6"/>
            <c:spPr>
              <a:solidFill>
                <a:schemeClr val="accent1"/>
              </a:solidFill>
              <a:ln w="9525">
                <a:solidFill>
                  <a:schemeClr val="accent1"/>
                </a:solidFill>
                <a:round/>
              </a:ln>
              <a:effectLst/>
            </c:spPr>
          </c:marker>
          <c:trendline>
            <c:spPr>
              <a:ln w="9525" cap="rnd">
                <a:solidFill>
                  <a:schemeClr val="accent1"/>
                </a:solidFill>
              </a:ln>
              <a:effectLst/>
            </c:spPr>
            <c:trendlineType val="exp"/>
            <c:dispRSqr val="0"/>
            <c:dispEq val="1"/>
            <c:trendlineLbl>
              <c:layout>
                <c:manualLayout>
                  <c:x val="2.1997536022282931E-2"/>
                  <c:y val="-0.5919557644416934"/>
                </c:manualLayout>
              </c:layout>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sz="1300" baseline="0"/>
                      <a:t>F2 = 32.341e</a:t>
                    </a:r>
                    <a:r>
                      <a:rPr lang="en-US" sz="1300" baseline="30000"/>
                      <a:t>-0.152x</a:t>
                    </a:r>
                    <a:endParaRPr lang="en-US" sz="1300"/>
                  </a:p>
                </c:rich>
              </c:tx>
              <c:numFmt formatCode="General" sourceLinked="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rendlineLbl>
          </c:trendline>
          <c:errBars>
            <c:errDir val="y"/>
            <c:errBarType val="both"/>
            <c:errValType val="cust"/>
            <c:noEndCap val="0"/>
            <c:plus>
              <c:numRef>
                <c:f>Tabelle1!$L$4:$L$10</c:f>
                <c:numCache>
                  <c:formatCode>General</c:formatCode>
                  <c:ptCount val="7"/>
                  <c:pt idx="0">
                    <c:v>1.2</c:v>
                  </c:pt>
                  <c:pt idx="1">
                    <c:v>0.8</c:v>
                  </c:pt>
                  <c:pt idx="2">
                    <c:v>0.5</c:v>
                  </c:pt>
                  <c:pt idx="3">
                    <c:v>0.12</c:v>
                  </c:pt>
                  <c:pt idx="4">
                    <c:v>0.08</c:v>
                  </c:pt>
                  <c:pt idx="5">
                    <c:v>1E-3</c:v>
                  </c:pt>
                  <c:pt idx="6">
                    <c:v>0.02</c:v>
                  </c:pt>
                </c:numCache>
              </c:numRef>
            </c:plus>
            <c:minus>
              <c:numRef>
                <c:f>Tabelle1!$L$4:$L$10</c:f>
                <c:numCache>
                  <c:formatCode>General</c:formatCode>
                  <c:ptCount val="7"/>
                  <c:pt idx="0">
                    <c:v>1.2</c:v>
                  </c:pt>
                  <c:pt idx="1">
                    <c:v>0.8</c:v>
                  </c:pt>
                  <c:pt idx="2">
                    <c:v>0.5</c:v>
                  </c:pt>
                  <c:pt idx="3">
                    <c:v>0.12</c:v>
                  </c:pt>
                  <c:pt idx="4">
                    <c:v>0.08</c:v>
                  </c:pt>
                  <c:pt idx="5">
                    <c:v>1E-3</c:v>
                  </c:pt>
                  <c:pt idx="6">
                    <c:v>0.02</c:v>
                  </c:pt>
                </c:numCache>
              </c:numRef>
            </c:minus>
            <c:spPr>
              <a:noFill/>
              <a:ln w="9525">
                <a:solidFill>
                  <a:schemeClr val="tx1">
                    <a:lumMod val="65000"/>
                    <a:lumOff val="35000"/>
                  </a:schemeClr>
                </a:solidFill>
                <a:round/>
              </a:ln>
              <a:effectLst/>
            </c:spPr>
          </c:errBars>
          <c:xVal>
            <c:numRef>
              <c:f>Tabelle1!$D$4:$D$10</c:f>
              <c:numCache>
                <c:formatCode>General</c:formatCode>
                <c:ptCount val="7"/>
                <c:pt idx="0">
                  <c:v>1</c:v>
                </c:pt>
                <c:pt idx="1">
                  <c:v>3</c:v>
                </c:pt>
                <c:pt idx="2">
                  <c:v>5</c:v>
                </c:pt>
                <c:pt idx="3">
                  <c:v>7</c:v>
                </c:pt>
                <c:pt idx="4">
                  <c:v>10</c:v>
                </c:pt>
                <c:pt idx="5">
                  <c:v>12</c:v>
                </c:pt>
                <c:pt idx="6">
                  <c:v>15</c:v>
                </c:pt>
              </c:numCache>
            </c:numRef>
          </c:xVal>
          <c:yVal>
            <c:numRef>
              <c:f>Tabelle1!$E$4:$E$10</c:f>
              <c:numCache>
                <c:formatCode>General</c:formatCode>
                <c:ptCount val="7"/>
                <c:pt idx="0">
                  <c:v>27.5</c:v>
                </c:pt>
                <c:pt idx="1">
                  <c:v>20.12</c:v>
                </c:pt>
                <c:pt idx="2">
                  <c:v>15.77</c:v>
                </c:pt>
                <c:pt idx="3">
                  <c:v>11.14</c:v>
                </c:pt>
                <c:pt idx="4">
                  <c:v>7.2</c:v>
                </c:pt>
                <c:pt idx="5">
                  <c:v>5.0999999999999996</c:v>
                </c:pt>
                <c:pt idx="6">
                  <c:v>3.33</c:v>
                </c:pt>
              </c:numCache>
            </c:numRef>
          </c:yVal>
          <c:smooth val="0"/>
          <c:extLst>
            <c:ext xmlns:c16="http://schemas.microsoft.com/office/drawing/2014/chart" uri="{C3380CC4-5D6E-409C-BE32-E72D297353CC}">
              <c16:uniqueId val="{00000001-5CEC-4636-8F1A-9830612D5B71}"/>
            </c:ext>
          </c:extLst>
        </c:ser>
        <c:ser>
          <c:idx val="1"/>
          <c:order val="1"/>
          <c:tx>
            <c:v>Formulation 3</c:v>
          </c:tx>
          <c:spPr>
            <a:ln w="25400" cap="rnd">
              <a:noFill/>
              <a:round/>
            </a:ln>
            <a:effectLst/>
          </c:spPr>
          <c:marker>
            <c:symbol val="square"/>
            <c:size val="6"/>
            <c:spPr>
              <a:solidFill>
                <a:schemeClr val="accent2"/>
              </a:solidFill>
              <a:ln w="9525">
                <a:solidFill>
                  <a:schemeClr val="accent2"/>
                </a:solidFill>
                <a:round/>
              </a:ln>
              <a:effectLst/>
            </c:spPr>
          </c:marker>
          <c:trendline>
            <c:spPr>
              <a:ln w="9525" cap="rnd">
                <a:solidFill>
                  <a:schemeClr val="accent2"/>
                </a:solidFill>
              </a:ln>
              <a:effectLst/>
            </c:spPr>
            <c:trendlineType val="exp"/>
            <c:dispRSqr val="0"/>
            <c:dispEq val="1"/>
            <c:trendlineLbl>
              <c:layout>
                <c:manualLayout>
                  <c:x val="2.1997536022282931E-2"/>
                  <c:y val="-0.55642912666081279"/>
                </c:manualLayout>
              </c:layout>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sz="1300" baseline="0"/>
                      <a:t>F3 = 33.267e</a:t>
                    </a:r>
                    <a:r>
                      <a:rPr lang="en-US" sz="1300" baseline="30000"/>
                      <a:t>-0.357x</a:t>
                    </a:r>
                    <a:endParaRPr lang="en-US" sz="1300"/>
                  </a:p>
                </c:rich>
              </c:tx>
              <c:numFmt formatCode="General" sourceLinked="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rendlineLbl>
          </c:trendline>
          <c:errBars>
            <c:errDir val="y"/>
            <c:errBarType val="both"/>
            <c:errValType val="cust"/>
            <c:noEndCap val="0"/>
            <c:plus>
              <c:numRef>
                <c:f>Tabelle1!$K$4:$K$10</c:f>
                <c:numCache>
                  <c:formatCode>General</c:formatCode>
                  <c:ptCount val="7"/>
                  <c:pt idx="0">
                    <c:v>0.8</c:v>
                  </c:pt>
                  <c:pt idx="1">
                    <c:v>1.1000000000000001</c:v>
                  </c:pt>
                  <c:pt idx="2">
                    <c:v>2.2000000000000002</c:v>
                  </c:pt>
                  <c:pt idx="3">
                    <c:v>0.8</c:v>
                  </c:pt>
                  <c:pt idx="4">
                    <c:v>0.4</c:v>
                  </c:pt>
                  <c:pt idx="5">
                    <c:v>0.2</c:v>
                  </c:pt>
                  <c:pt idx="6">
                    <c:v>0.1</c:v>
                  </c:pt>
                </c:numCache>
              </c:numRef>
            </c:plus>
            <c:minus>
              <c:numRef>
                <c:f>Tabelle1!$K$4:$K$10</c:f>
                <c:numCache>
                  <c:formatCode>General</c:formatCode>
                  <c:ptCount val="7"/>
                  <c:pt idx="0">
                    <c:v>0.8</c:v>
                  </c:pt>
                  <c:pt idx="1">
                    <c:v>1.1000000000000001</c:v>
                  </c:pt>
                  <c:pt idx="2">
                    <c:v>2.2000000000000002</c:v>
                  </c:pt>
                  <c:pt idx="3">
                    <c:v>0.8</c:v>
                  </c:pt>
                  <c:pt idx="4">
                    <c:v>0.4</c:v>
                  </c:pt>
                  <c:pt idx="5">
                    <c:v>0.2</c:v>
                  </c:pt>
                  <c:pt idx="6">
                    <c:v>0.1</c:v>
                  </c:pt>
                </c:numCache>
              </c:numRef>
            </c:minus>
            <c:spPr>
              <a:noFill/>
              <a:ln w="9525">
                <a:solidFill>
                  <a:schemeClr val="tx1">
                    <a:lumMod val="65000"/>
                    <a:lumOff val="35000"/>
                  </a:schemeClr>
                </a:solidFill>
                <a:round/>
              </a:ln>
              <a:effectLst/>
            </c:spPr>
          </c:errBars>
          <c:xVal>
            <c:numRef>
              <c:f>Tabelle1!$D$4:$D$10</c:f>
              <c:numCache>
                <c:formatCode>General</c:formatCode>
                <c:ptCount val="7"/>
                <c:pt idx="0">
                  <c:v>1</c:v>
                </c:pt>
                <c:pt idx="1">
                  <c:v>3</c:v>
                </c:pt>
                <c:pt idx="2">
                  <c:v>5</c:v>
                </c:pt>
                <c:pt idx="3">
                  <c:v>7</c:v>
                </c:pt>
                <c:pt idx="4">
                  <c:v>10</c:v>
                </c:pt>
                <c:pt idx="5">
                  <c:v>12</c:v>
                </c:pt>
                <c:pt idx="6">
                  <c:v>15</c:v>
                </c:pt>
              </c:numCache>
            </c:numRef>
          </c:xVal>
          <c:yVal>
            <c:numRef>
              <c:f>Tabelle1!$F$4:$F$10</c:f>
              <c:numCache>
                <c:formatCode>General</c:formatCode>
                <c:ptCount val="7"/>
                <c:pt idx="0">
                  <c:v>23.54</c:v>
                </c:pt>
                <c:pt idx="1">
                  <c:v>11.12</c:v>
                </c:pt>
                <c:pt idx="2">
                  <c:v>6.34</c:v>
                </c:pt>
                <c:pt idx="3">
                  <c:v>2.11</c:v>
                </c:pt>
                <c:pt idx="4">
                  <c:v>1.01</c:v>
                </c:pt>
                <c:pt idx="5">
                  <c:v>0.55000000000000004</c:v>
                </c:pt>
                <c:pt idx="6">
                  <c:v>0.14000000000000001</c:v>
                </c:pt>
              </c:numCache>
            </c:numRef>
          </c:yVal>
          <c:smooth val="0"/>
          <c:extLst>
            <c:ext xmlns:c16="http://schemas.microsoft.com/office/drawing/2014/chart" uri="{C3380CC4-5D6E-409C-BE32-E72D297353CC}">
              <c16:uniqueId val="{00000003-5CEC-4636-8F1A-9830612D5B71}"/>
            </c:ext>
          </c:extLst>
        </c:ser>
        <c:ser>
          <c:idx val="2"/>
          <c:order val="2"/>
          <c:tx>
            <c:v>Formulation 1</c:v>
          </c:tx>
          <c:spPr>
            <a:ln w="25400" cap="rnd">
              <a:noFill/>
              <a:round/>
            </a:ln>
            <a:effectLst/>
          </c:spPr>
          <c:marker>
            <c:symbol val="triangle"/>
            <c:size val="6"/>
            <c:spPr>
              <a:solidFill>
                <a:schemeClr val="accent3"/>
              </a:solidFill>
              <a:ln w="9525">
                <a:solidFill>
                  <a:schemeClr val="accent3"/>
                </a:solidFill>
                <a:round/>
              </a:ln>
              <a:effectLst/>
            </c:spPr>
          </c:marker>
          <c:trendline>
            <c:spPr>
              <a:ln w="9525" cap="rnd">
                <a:solidFill>
                  <a:schemeClr val="accent3"/>
                </a:solidFill>
              </a:ln>
              <a:effectLst/>
            </c:spPr>
            <c:trendlineType val="exp"/>
            <c:dispRSqr val="0"/>
            <c:dispEq val="0"/>
          </c:trendline>
          <c:trendline>
            <c:spPr>
              <a:ln w="9525" cap="rnd">
                <a:solidFill>
                  <a:schemeClr val="accent3"/>
                </a:solidFill>
              </a:ln>
              <a:effectLst/>
            </c:spPr>
            <c:trendlineType val="exp"/>
            <c:dispRSqr val="0"/>
            <c:dispEq val="0"/>
          </c:trendline>
          <c:trendline>
            <c:spPr>
              <a:ln w="9525" cap="rnd">
                <a:solidFill>
                  <a:schemeClr val="accent3"/>
                </a:solidFill>
              </a:ln>
              <a:effectLst/>
            </c:spPr>
            <c:trendlineType val="exp"/>
            <c:dispRSqr val="0"/>
            <c:dispEq val="0"/>
          </c:trendline>
          <c:trendline>
            <c:spPr>
              <a:ln w="9525" cap="rnd">
                <a:solidFill>
                  <a:schemeClr val="accent3"/>
                </a:solidFill>
              </a:ln>
              <a:effectLst/>
            </c:spPr>
            <c:trendlineType val="exp"/>
            <c:dispRSqr val="0"/>
            <c:dispEq val="1"/>
            <c:trendlineLbl>
              <c:layout>
                <c:manualLayout>
                  <c:x val="2.1997536022282931E-2"/>
                  <c:y val="-0.42470742345506629"/>
                </c:manualLayout>
              </c:layout>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sz="1300" baseline="0"/>
                      <a:t>F1 = 33.562e</a:t>
                    </a:r>
                    <a:r>
                      <a:rPr lang="en-US" sz="1300" baseline="30000"/>
                      <a:t>-0.054x</a:t>
                    </a:r>
                    <a:endParaRPr lang="en-US" sz="1300"/>
                  </a:p>
                </c:rich>
              </c:tx>
              <c:numFmt formatCode="General" sourceLinked="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rendlineLbl>
          </c:trendline>
          <c:errBars>
            <c:errDir val="y"/>
            <c:errBarType val="both"/>
            <c:errValType val="cust"/>
            <c:noEndCap val="0"/>
            <c:plus>
              <c:numRef>
                <c:f>Tabelle1!$M$4:$M$10</c:f>
                <c:numCache>
                  <c:formatCode>General</c:formatCode>
                  <c:ptCount val="7"/>
                  <c:pt idx="0">
                    <c:v>1.1000000000000001</c:v>
                  </c:pt>
                  <c:pt idx="1">
                    <c:v>0.9</c:v>
                  </c:pt>
                  <c:pt idx="2">
                    <c:v>1.4</c:v>
                  </c:pt>
                  <c:pt idx="3">
                    <c:v>0.9</c:v>
                  </c:pt>
                  <c:pt idx="4">
                    <c:v>0.5</c:v>
                  </c:pt>
                  <c:pt idx="5">
                    <c:v>0.4</c:v>
                  </c:pt>
                  <c:pt idx="6">
                    <c:v>0.3</c:v>
                  </c:pt>
                </c:numCache>
              </c:numRef>
            </c:plus>
            <c:minus>
              <c:numRef>
                <c:f>Tabelle1!$M$4:$M$10</c:f>
                <c:numCache>
                  <c:formatCode>General</c:formatCode>
                  <c:ptCount val="7"/>
                  <c:pt idx="0">
                    <c:v>1.1000000000000001</c:v>
                  </c:pt>
                  <c:pt idx="1">
                    <c:v>0.9</c:v>
                  </c:pt>
                  <c:pt idx="2">
                    <c:v>1.4</c:v>
                  </c:pt>
                  <c:pt idx="3">
                    <c:v>0.9</c:v>
                  </c:pt>
                  <c:pt idx="4">
                    <c:v>0.5</c:v>
                  </c:pt>
                  <c:pt idx="5">
                    <c:v>0.4</c:v>
                  </c:pt>
                  <c:pt idx="6">
                    <c:v>0.3</c:v>
                  </c:pt>
                </c:numCache>
              </c:numRef>
            </c:minus>
            <c:spPr>
              <a:noFill/>
              <a:ln w="9525">
                <a:solidFill>
                  <a:schemeClr val="tx1">
                    <a:lumMod val="65000"/>
                    <a:lumOff val="35000"/>
                  </a:schemeClr>
                </a:solidFill>
                <a:round/>
              </a:ln>
              <a:effectLst/>
            </c:spPr>
          </c:errBars>
          <c:xVal>
            <c:numRef>
              <c:f>Tabelle1!$D$4:$D$10</c:f>
              <c:numCache>
                <c:formatCode>General</c:formatCode>
                <c:ptCount val="7"/>
                <c:pt idx="0">
                  <c:v>1</c:v>
                </c:pt>
                <c:pt idx="1">
                  <c:v>3</c:v>
                </c:pt>
                <c:pt idx="2">
                  <c:v>5</c:v>
                </c:pt>
                <c:pt idx="3">
                  <c:v>7</c:v>
                </c:pt>
                <c:pt idx="4">
                  <c:v>10</c:v>
                </c:pt>
                <c:pt idx="5">
                  <c:v>12</c:v>
                </c:pt>
                <c:pt idx="6">
                  <c:v>15</c:v>
                </c:pt>
              </c:numCache>
            </c:numRef>
          </c:xVal>
          <c:yVal>
            <c:numRef>
              <c:f>Tabelle1!$G$4:$G$10</c:f>
              <c:numCache>
                <c:formatCode>General</c:formatCode>
                <c:ptCount val="7"/>
                <c:pt idx="0">
                  <c:v>32.5</c:v>
                </c:pt>
                <c:pt idx="1">
                  <c:v>28.88</c:v>
                </c:pt>
                <c:pt idx="2">
                  <c:v>25.13</c:v>
                </c:pt>
                <c:pt idx="3">
                  <c:v>22.24</c:v>
                </c:pt>
                <c:pt idx="4">
                  <c:v>19.420000000000002</c:v>
                </c:pt>
                <c:pt idx="5">
                  <c:v>17.559999999999999</c:v>
                </c:pt>
                <c:pt idx="6">
                  <c:v>15.16</c:v>
                </c:pt>
              </c:numCache>
            </c:numRef>
          </c:yVal>
          <c:smooth val="0"/>
          <c:extLst>
            <c:ext xmlns:c16="http://schemas.microsoft.com/office/drawing/2014/chart" uri="{C3380CC4-5D6E-409C-BE32-E72D297353CC}">
              <c16:uniqueId val="{00000008-5CEC-4636-8F1A-9830612D5B71}"/>
            </c:ext>
          </c:extLst>
        </c:ser>
        <c:dLbls>
          <c:showLegendKey val="0"/>
          <c:showVal val="0"/>
          <c:showCatName val="0"/>
          <c:showSerName val="0"/>
          <c:showPercent val="0"/>
          <c:showBubbleSize val="0"/>
        </c:dLbls>
        <c:axId val="90006975"/>
        <c:axId val="90007807"/>
      </c:scatterChart>
      <c:valAx>
        <c:axId val="9000697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de-DE"/>
                  <a:t>Mixing Time [min]</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en-US"/>
          </a:p>
        </c:txPr>
        <c:crossAx val="90007807"/>
        <c:crosses val="autoZero"/>
        <c:crossBetween val="midCat"/>
      </c:valAx>
      <c:valAx>
        <c:axId val="9000780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de-DE"/>
                  <a:t>FPF [%]</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00697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C34DD2AC9C93457FA1A053324FCC48C3"/>
        <w:category>
          <w:name w:val="Allgemein"/>
          <w:gallery w:val="placeholder"/>
        </w:category>
        <w:types>
          <w:type w:val="bbPlcHdr"/>
        </w:types>
        <w:behaviors>
          <w:behavior w:val="content"/>
        </w:behaviors>
        <w:guid w:val="{1905223A-98ED-48A2-9242-DA8901584566}"/>
      </w:docPartPr>
      <w:docPartBody>
        <w:p w:rsidR="005160F0" w:rsidRDefault="007A459B" w:rsidP="007A459B">
          <w:pPr>
            <w:pStyle w:val="C34DD2AC9C93457FA1A053324FCC48C3"/>
          </w:pPr>
          <w:r w:rsidRPr="00160344">
            <w:rPr>
              <w:rStyle w:val="PlaceholderText"/>
              <w:color w:val="auto"/>
            </w:rPr>
            <w:t>Title of Your Paper</w:t>
          </w:r>
        </w:p>
      </w:docPartBody>
    </w:docPart>
    <w:docPart>
      <w:docPartPr>
        <w:name w:val="2C0E9E1FBB7D49ADB6AB4150F08DDB35"/>
        <w:category>
          <w:name w:val="Allgemein"/>
          <w:gallery w:val="placeholder"/>
        </w:category>
        <w:types>
          <w:type w:val="bbPlcHdr"/>
        </w:types>
        <w:behaviors>
          <w:behavior w:val="content"/>
        </w:behaviors>
        <w:guid w:val="{8F3778A2-716D-43F6-8465-07AD3FEBDECD}"/>
      </w:docPartPr>
      <w:docPartBody>
        <w:p w:rsidR="005160F0" w:rsidRDefault="007A459B" w:rsidP="007A459B">
          <w:pPr>
            <w:pStyle w:val="2C0E9E1FBB7D49ADB6AB4150F08DDB35"/>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1703F7"/>
    <w:rsid w:val="00194847"/>
    <w:rsid w:val="001D4D96"/>
    <w:rsid w:val="001E1C5A"/>
    <w:rsid w:val="001F71C2"/>
    <w:rsid w:val="002B4DB2"/>
    <w:rsid w:val="002E498F"/>
    <w:rsid w:val="003009AF"/>
    <w:rsid w:val="003E486B"/>
    <w:rsid w:val="004A5D97"/>
    <w:rsid w:val="005025F8"/>
    <w:rsid w:val="005160F0"/>
    <w:rsid w:val="0052375B"/>
    <w:rsid w:val="00623571"/>
    <w:rsid w:val="00692CCB"/>
    <w:rsid w:val="007A459B"/>
    <w:rsid w:val="007E623F"/>
    <w:rsid w:val="008B0A78"/>
    <w:rsid w:val="00943A37"/>
    <w:rsid w:val="00985E75"/>
    <w:rsid w:val="009F0831"/>
    <w:rsid w:val="00A92596"/>
    <w:rsid w:val="00AD0A82"/>
    <w:rsid w:val="00B01474"/>
    <w:rsid w:val="00B848C3"/>
    <w:rsid w:val="00BC730E"/>
    <w:rsid w:val="00C11405"/>
    <w:rsid w:val="00CF1D98"/>
    <w:rsid w:val="00DB04D1"/>
    <w:rsid w:val="00E60656"/>
    <w:rsid w:val="00EA4259"/>
    <w:rsid w:val="00EB5794"/>
    <w:rsid w:val="00FB16D6"/>
    <w:rsid w:val="00FE29B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459B"/>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C34DD2AC9C93457FA1A053324FCC48C3">
    <w:name w:val="C34DD2AC9C93457FA1A053324FCC48C3"/>
    <w:rsid w:val="007A459B"/>
    <w:rPr>
      <w:lang w:val="de-DE" w:eastAsia="de-DE"/>
    </w:rPr>
  </w:style>
  <w:style w:type="paragraph" w:customStyle="1" w:styleId="2C0E9E1FBB7D49ADB6AB4150F08DDB35">
    <w:name w:val="2C0E9E1FBB7D49ADB6AB4150F08DDB35"/>
    <w:rsid w:val="007A459B"/>
    <w:rPr>
      <w:lang w:val="de-DE"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6" ma:contentTypeDescription="Create a new document." ma:contentTypeScope="" ma:versionID="3b77a0fe2d9c5f5fa8446f74fbabbb68">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705ba04dbffd1ec234430b0dd9b096d0"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5217BA-055F-4F82-BB0F-E25D2461C8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30BD7A-820B-4079-A950-7F0AAC772676}">
  <ds:schemaRefs>
    <ds:schemaRef ds:uri="http://schemas.microsoft.com/office/2006/metadata/properties"/>
    <ds:schemaRef ds:uri="00022fe9-26d9-4c31-8678-3a6eabb28834"/>
    <ds:schemaRef ds:uri="64c78038-89ac-4195-83e1-1279128b6e0c"/>
    <ds:schemaRef ds:uri="http://schemas.openxmlformats.org/package/2006/metadata/core-properties"/>
    <ds:schemaRef ds:uri="http://purl.org/dc/terms/"/>
    <ds:schemaRef ds:uri="http://purl.org/dc/dcmitype/"/>
    <ds:schemaRef ds:uri="http://purl.org/dc/elements/1.1/"/>
    <ds:schemaRef ds:uri="http://schemas.microsoft.com/office/2006/documentManagement/typ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CD7CB6D6-936E-4FB5-B00B-655D83DC71A0}">
  <ds:schemaRefs>
    <ds:schemaRef ds:uri="http://schemas.openxmlformats.org/officeDocument/2006/bibliography"/>
  </ds:schemaRefs>
</ds:datastoreItem>
</file>

<file path=customXml/itemProps4.xml><?xml version="1.0" encoding="utf-8"?>
<ds:datastoreItem xmlns:ds="http://schemas.openxmlformats.org/officeDocument/2006/customXml" ds:itemID="{FCA5D22E-BE9C-4A4D-97B4-7D4C5D48F5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2022</Words>
  <Characters>11517</Characters>
  <Application>Microsoft Office Word</Application>
  <DocSecurity>4</DocSecurity>
  <Lines>95</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2023-10-16T06:08:00Z</cp:lastPrinted>
  <dcterms:created xsi:type="dcterms:W3CDTF">2023-10-16T09:00:00Z</dcterms:created>
  <dcterms:modified xsi:type="dcterms:W3CDTF">2023-10-16T09:00:00Z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