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541835C3" w:rsidR="000E77D5" w:rsidRPr="00160344" w:rsidRDefault="00000000" w:rsidP="00AD115D">
      <w:pPr>
        <w:pStyle w:val="DDLTitle"/>
      </w:pPr>
      <w:sdt>
        <w:sdtPr>
          <w:alias w:val="Title"/>
          <w:tag w:val="Title"/>
          <w:id w:val="-912845432"/>
          <w:lock w:val="sdtLocked"/>
          <w:placeholder>
            <w:docPart w:val="F93874C70D8C44D6B0BA71800E08656C"/>
          </w:placeholder>
        </w:sdtPr>
        <w:sdtContent>
          <w:r w:rsidR="00EC6269" w:rsidRPr="00CB3ACD">
            <w:t xml:space="preserve">Development of innovative </w:t>
          </w:r>
          <w:r w:rsidR="00EC6269">
            <w:t xml:space="preserve">controlled released </w:t>
          </w:r>
          <w:r w:rsidR="00EC6269" w:rsidRPr="00CB3ACD">
            <w:t xml:space="preserve">dry powders for </w:t>
          </w:r>
          <w:proofErr w:type="gramStart"/>
          <w:r w:rsidR="00EC6269" w:rsidRPr="00CB3ACD">
            <w:t xml:space="preserve">inhalation </w:t>
          </w:r>
          <w:r w:rsidR="00EC6269">
            <w:rPr>
              <w:b w:val="0"/>
              <w:bCs w:val="0"/>
            </w:rPr>
            <w:t xml:space="preserve"> </w:t>
          </w:r>
          <w:r w:rsidR="00EC6269" w:rsidRPr="00CB3ACD">
            <w:t>based</w:t>
          </w:r>
          <w:proofErr w:type="gramEnd"/>
          <w:r w:rsidR="00EC6269" w:rsidRPr="00CB3ACD">
            <w:t xml:space="preserve"> on </w:t>
          </w:r>
          <w:r w:rsidR="00EC6269">
            <w:t>budesonide for a once daily administration</w:t>
          </w:r>
        </w:sdtContent>
      </w:sdt>
      <w:bookmarkEnd w:id="0"/>
      <w:r w:rsidR="00881895">
        <w:t xml:space="preserve"> </w:t>
      </w:r>
    </w:p>
    <w:bookmarkStart w:id="1" w:name="Author"/>
    <w:p w14:paraId="57DCC0EC" w14:textId="2F3DBA5D" w:rsidR="00C65A37" w:rsidRPr="00AD115D" w:rsidRDefault="00000000" w:rsidP="00AD115D">
      <w:pPr>
        <w:pStyle w:val="DDLSubtitle"/>
      </w:pPr>
      <w:sdt>
        <w:sdtPr>
          <w:rPr>
            <w:u w:val="single"/>
          </w:rPr>
          <w:alias w:val="Main Author"/>
          <w:tag w:val="Main Author"/>
          <w:id w:val="854543900"/>
          <w:lock w:val="sdtLocked"/>
          <w:placeholder>
            <w:docPart w:val="38BA82FFF2774C26AC6862CFB8BB55DB"/>
          </w:placeholder>
        </w:sdtPr>
        <w:sdtContent>
          <w:r w:rsidR="00EC6269">
            <w:rPr>
              <w:u w:val="single"/>
            </w:rPr>
            <w:t>Le Van Bui</w:t>
          </w:r>
        </w:sdtContent>
      </w:sdt>
      <w:bookmarkEnd w:id="1"/>
      <w:r w:rsidR="00676DA7" w:rsidRPr="00AD115D">
        <w:rPr>
          <w:vertAlign w:val="superscript"/>
        </w:rPr>
        <w:t>1</w:t>
      </w:r>
      <w:r w:rsidR="00676DA7" w:rsidRPr="00AD115D">
        <w:t>,</w:t>
      </w:r>
      <w:r w:rsidR="00EC6269">
        <w:t xml:space="preserve"> Elena Menchi</w:t>
      </w:r>
      <w:r w:rsidR="00EC6269" w:rsidRPr="00EC6269">
        <w:rPr>
          <w:vertAlign w:val="superscript"/>
        </w:rPr>
        <w:t>1</w:t>
      </w:r>
      <w:r w:rsidR="00EC6269">
        <w:t>, Ismaël Hennia</w:t>
      </w:r>
      <w:r w:rsidR="00EC6269" w:rsidRPr="00EC6269">
        <w:rPr>
          <w:vertAlign w:val="superscript"/>
        </w:rPr>
        <w:t>1</w:t>
      </w:r>
      <w:r w:rsidR="00EC6269">
        <w:t>, Karim Amighi</w:t>
      </w:r>
      <w:r w:rsidR="00EC6269" w:rsidRPr="00EC6269">
        <w:rPr>
          <w:vertAlign w:val="superscript"/>
        </w:rPr>
        <w:t>1</w:t>
      </w:r>
      <w:r w:rsidR="00EC6269">
        <w:t xml:space="preserve"> </w:t>
      </w:r>
      <w:r w:rsidR="00C65A37" w:rsidRPr="00AD115D">
        <w:t xml:space="preserve">&amp; </w:t>
      </w:r>
      <w:r w:rsidR="00EC6269">
        <w:t>Nathalie Wauthoz</w:t>
      </w:r>
      <w:r w:rsidR="00EC6269" w:rsidRPr="00EC6269">
        <w:rPr>
          <w:vertAlign w:val="superscript"/>
        </w:rPr>
        <w:t>1</w:t>
      </w:r>
    </w:p>
    <w:p w14:paraId="29B744B6" w14:textId="77777777" w:rsidR="00EC6269" w:rsidRPr="006D7A2A" w:rsidRDefault="00EC6269" w:rsidP="00EC6269">
      <w:pPr>
        <w:jc w:val="center"/>
      </w:pPr>
      <w:r w:rsidRPr="007920AD">
        <w:rPr>
          <w:vertAlign w:val="superscript"/>
          <w:lang w:val="it-IT"/>
        </w:rPr>
        <w:t>1</w:t>
      </w:r>
      <w:r w:rsidRPr="007920AD">
        <w:rPr>
          <w:lang w:val="it-IT"/>
        </w:rPr>
        <w:t xml:space="preserve"> Unit of Pharmaceutics and Biopharmaceutics, Department of Pharmacotherapy and Pharmaceutics, Faculty of Pharmacy, Université libre de Bruxelles (ULB), Boulevard du Triomphe CP207, B-1050 Brussels, Belgium. </w:t>
      </w:r>
      <w:r w:rsidRPr="007920AD">
        <w:t>*</w:t>
      </w:r>
      <w:proofErr w:type="gramStart"/>
      <w:r w:rsidRPr="007920AD">
        <w:t>equal</w:t>
      </w:r>
      <w:proofErr w:type="gramEnd"/>
      <w:r w:rsidRPr="007920AD">
        <w:t xml:space="preserve"> contribution, </w:t>
      </w:r>
      <w:hyperlink r:id="rId11" w:history="1">
        <w:r w:rsidRPr="007920AD">
          <w:rPr>
            <w:rStyle w:val="Hyperlink"/>
          </w:rPr>
          <w:t>L</w:t>
        </w:r>
        <w:r w:rsidRPr="005B0817">
          <w:rPr>
            <w:rStyle w:val="Hyperlink"/>
          </w:rPr>
          <w:t>e</w:t>
        </w:r>
        <w:r w:rsidRPr="007920AD">
          <w:rPr>
            <w:rStyle w:val="Hyperlink"/>
          </w:rPr>
          <w:t>.Bui@ulb</w:t>
        </w:r>
        <w:r w:rsidRPr="005B0817">
          <w:rPr>
            <w:rStyle w:val="Hyperlink"/>
          </w:rPr>
          <w:t>.be</w:t>
        </w:r>
      </w:hyperlink>
      <w:r>
        <w:t xml:space="preserve"> </w:t>
      </w:r>
    </w:p>
    <w:p w14:paraId="57DCC0EF" w14:textId="77777777" w:rsidR="00C65A37" w:rsidRPr="00582113" w:rsidRDefault="00C65A37" w:rsidP="00D156FE">
      <w:pPr>
        <w:pStyle w:val="DDLHeading1"/>
        <w:rPr>
          <w:sz w:val="20"/>
          <w:szCs w:val="20"/>
        </w:rPr>
      </w:pPr>
      <w:r w:rsidRPr="00582113">
        <w:rPr>
          <w:sz w:val="20"/>
          <w:szCs w:val="20"/>
        </w:rPr>
        <w:t>Summary</w:t>
      </w:r>
    </w:p>
    <w:p w14:paraId="58FE2EA8" w14:textId="77777777" w:rsidR="00EC6269" w:rsidRPr="007B1DB0" w:rsidRDefault="00EC6269" w:rsidP="00EC6269">
      <w:pPr>
        <w:rPr>
          <w:sz w:val="20"/>
          <w:szCs w:val="22"/>
        </w:rPr>
      </w:pPr>
      <w:bookmarkStart w:id="2" w:name="_Hlk138251153"/>
      <w:r w:rsidRPr="007B1DB0">
        <w:rPr>
          <w:i/>
          <w:iCs/>
          <w:sz w:val="20"/>
          <w:szCs w:val="22"/>
        </w:rPr>
        <w:t>Introduction.</w:t>
      </w:r>
      <w:r w:rsidRPr="007B1DB0">
        <w:rPr>
          <w:sz w:val="20"/>
          <w:szCs w:val="22"/>
        </w:rPr>
        <w:t xml:space="preserve"> Dry powder inhalers (DPIs) in the treatment of non-communicable chronic respiratory diseases such as asthma and chronic obstructive pulmonary disease (COPD) are one of the most widely used devices used by the patients. However, the appropriate use or choice of inhalable medications can be challenging for patients and healthcare professionals. Poor adherence due to high frequency of administration, errors in inhalation technique and/or use of DPIs may cause the loss of asthma or COPD control. In the present study, we aim to develop a dry powder for inhalation (DPI) formulation based on controlled release of budesonide (BUD) using a lipid matrix based on hydrogenated castor oil (HCO) and tocopherol polyethylene glycol 1000 succinate (TPGS) to decrease the administration frequency. </w:t>
      </w:r>
      <w:r w:rsidRPr="007B1DB0">
        <w:rPr>
          <w:i/>
          <w:iCs/>
          <w:sz w:val="20"/>
          <w:szCs w:val="22"/>
        </w:rPr>
        <w:t>Methods.</w:t>
      </w:r>
      <w:r w:rsidRPr="007B1DB0">
        <w:rPr>
          <w:sz w:val="20"/>
          <w:szCs w:val="22"/>
        </w:rPr>
        <w:t xml:space="preserve"> BUD formulations were produced using the spray-drying particle engineering technique. The aerodynamic properties were assessed using the Next Generation Impactor (NGI) according to the European Pharmacopeia. The release properties of BUD were assessed using a paddle apparatus with a </w:t>
      </w:r>
      <w:proofErr w:type="gramStart"/>
      <w:r w:rsidRPr="007B1DB0">
        <w:rPr>
          <w:sz w:val="20"/>
          <w:szCs w:val="22"/>
        </w:rPr>
        <w:t>Fast Screening</w:t>
      </w:r>
      <w:proofErr w:type="gramEnd"/>
      <w:r w:rsidRPr="007B1DB0">
        <w:rPr>
          <w:sz w:val="20"/>
          <w:szCs w:val="22"/>
        </w:rPr>
        <w:t xml:space="preserve"> Impactor cassette for dissolution. </w:t>
      </w:r>
      <w:r w:rsidRPr="007B1DB0">
        <w:rPr>
          <w:i/>
          <w:iCs/>
          <w:sz w:val="20"/>
          <w:szCs w:val="22"/>
        </w:rPr>
        <w:t>Results.</w:t>
      </w:r>
      <w:r w:rsidRPr="007B1DB0">
        <w:rPr>
          <w:sz w:val="20"/>
          <w:szCs w:val="22"/>
        </w:rPr>
        <w:t xml:space="preserve"> The formulations showed optimal aerodynamic properties with a fine particle fraction related to the nominal dose (</w:t>
      </w:r>
      <w:proofErr w:type="spellStart"/>
      <w:r w:rsidRPr="007B1DB0">
        <w:rPr>
          <w:sz w:val="20"/>
          <w:szCs w:val="22"/>
        </w:rPr>
        <w:t>FPFn</w:t>
      </w:r>
      <w:proofErr w:type="spellEnd"/>
      <w:r w:rsidRPr="007B1DB0">
        <w:rPr>
          <w:sz w:val="20"/>
          <w:szCs w:val="22"/>
        </w:rPr>
        <w:t>) comprised between 52.5% to 53.5% as well as drug releases that decreased depending on the content of HCO (20 (% w:v) or 95 (% w:v)) and TPGS (5% (</w:t>
      </w:r>
      <w:proofErr w:type="spellStart"/>
      <w:r w:rsidRPr="007B1DB0">
        <w:rPr>
          <w:sz w:val="20"/>
          <w:szCs w:val="22"/>
        </w:rPr>
        <w:t>w:w</w:t>
      </w:r>
      <w:proofErr w:type="spellEnd"/>
      <w:r w:rsidRPr="007B1DB0">
        <w:rPr>
          <w:sz w:val="20"/>
          <w:szCs w:val="22"/>
        </w:rPr>
        <w:t xml:space="preserve">) of the excipients). </w:t>
      </w:r>
      <w:r w:rsidRPr="007B1DB0">
        <w:rPr>
          <w:i/>
          <w:iCs/>
          <w:sz w:val="20"/>
          <w:szCs w:val="22"/>
        </w:rPr>
        <w:t>Conclusion.</w:t>
      </w:r>
      <w:r w:rsidRPr="007B1DB0">
        <w:rPr>
          <w:sz w:val="20"/>
          <w:szCs w:val="22"/>
        </w:rPr>
        <w:t xml:space="preserve"> Our results suggest that the content of the lipid matrix in HCO and TPGS is responsible of the extended drug release in PBS – 0.02% Tween20 (</w:t>
      </w:r>
      <w:proofErr w:type="spellStart"/>
      <w:r w:rsidRPr="007B1DB0">
        <w:rPr>
          <w:sz w:val="20"/>
          <w:szCs w:val="22"/>
        </w:rPr>
        <w:t>w:v</w:t>
      </w:r>
      <w:proofErr w:type="spellEnd"/>
      <w:r w:rsidRPr="007B1DB0">
        <w:rPr>
          <w:sz w:val="20"/>
          <w:szCs w:val="22"/>
        </w:rPr>
        <w:t>) and fine particle ratio (FPF).</w:t>
      </w:r>
    </w:p>
    <w:bookmarkEnd w:id="2"/>
    <w:p w14:paraId="57DCC0F1" w14:textId="77777777" w:rsidR="00E14DBF" w:rsidRPr="00582113" w:rsidRDefault="00E14DBF" w:rsidP="00D156FE">
      <w:pPr>
        <w:pStyle w:val="DDLBodyText"/>
        <w:rPr>
          <w:b/>
          <w:sz w:val="20"/>
        </w:rPr>
      </w:pPr>
      <w:r w:rsidRPr="00582113">
        <w:rPr>
          <w:b/>
          <w:sz w:val="20"/>
        </w:rPr>
        <w:t>Key Message</w:t>
      </w:r>
    </w:p>
    <w:p w14:paraId="568DDBBA" w14:textId="77777777" w:rsidR="00EC6269" w:rsidRPr="002643FE" w:rsidRDefault="00EC6269" w:rsidP="00EC6269">
      <w:pPr>
        <w:rPr>
          <w:sz w:val="20"/>
          <w:szCs w:val="22"/>
        </w:rPr>
      </w:pPr>
      <w:r w:rsidRPr="002643FE">
        <w:rPr>
          <w:sz w:val="20"/>
          <w:szCs w:val="22"/>
        </w:rPr>
        <w:t xml:space="preserve">To decrease the frequency of administration of budesonide, dry powders for inhalation based on lipid matrix composed of HCO and TPGS containing budesonide at different drug contents were developed. An optimized lipid matrix improves aerodynamic performances and extend the release of budesonide over 24 hours. </w:t>
      </w:r>
    </w:p>
    <w:p w14:paraId="57DCC0F3" w14:textId="77777777" w:rsidR="00C65A37" w:rsidRPr="00582113" w:rsidRDefault="00C65A37" w:rsidP="00D156FE">
      <w:pPr>
        <w:pStyle w:val="DDLHeading1"/>
        <w:rPr>
          <w:sz w:val="20"/>
          <w:szCs w:val="20"/>
        </w:rPr>
      </w:pPr>
      <w:r w:rsidRPr="00582113">
        <w:rPr>
          <w:sz w:val="20"/>
          <w:szCs w:val="20"/>
        </w:rPr>
        <w:t>Introduction</w:t>
      </w:r>
    </w:p>
    <w:p w14:paraId="1DEE5640" w14:textId="77777777" w:rsidR="00EC6269" w:rsidRPr="002643FE" w:rsidRDefault="00EC6269" w:rsidP="00EC6269">
      <w:pPr>
        <w:rPr>
          <w:sz w:val="20"/>
          <w:szCs w:val="22"/>
        </w:rPr>
      </w:pPr>
      <w:r w:rsidRPr="002643FE">
        <w:rPr>
          <w:sz w:val="20"/>
          <w:szCs w:val="22"/>
        </w:rPr>
        <w:t>Drug delivery by pulmonary route is gaining interest over the years. It allows the drugs exerting their activity locally with a rapid onset of action, an improved safety profile, and a high therapeutic ratio and selectivity, while reducing systemic exposure [1]. Nowadays, several inhalers are available on the market such as pressurized metered doses inhaler (</w:t>
      </w:r>
      <w:proofErr w:type="spellStart"/>
      <w:r w:rsidRPr="002643FE">
        <w:rPr>
          <w:sz w:val="20"/>
          <w:szCs w:val="22"/>
        </w:rPr>
        <w:t>pMDIs</w:t>
      </w:r>
      <w:proofErr w:type="spellEnd"/>
      <w:r w:rsidRPr="002643FE">
        <w:rPr>
          <w:sz w:val="20"/>
          <w:szCs w:val="22"/>
        </w:rPr>
        <w:t>) and dry powder inhalers (DPIs). These latter devices play a crucial role in non-communicable chronic pulmonary diseases such as asthma and chronic obstructive pulmonary disease (COPD). Pulmonologists choose the inhaled medicine according to (</w:t>
      </w:r>
      <w:proofErr w:type="spellStart"/>
      <w:r w:rsidRPr="002643FE">
        <w:rPr>
          <w:sz w:val="20"/>
          <w:szCs w:val="22"/>
        </w:rPr>
        <w:t>i</w:t>
      </w:r>
      <w:proofErr w:type="spellEnd"/>
      <w:r w:rsidRPr="002643FE">
        <w:rPr>
          <w:sz w:val="20"/>
          <w:szCs w:val="22"/>
        </w:rPr>
        <w:t xml:space="preserve">) to treatment guidelines from GINA and GOLD for asthma and COPD respectively, (i.e., recommendations on drug classes and doses, and the degree of severity of the disease), (ii) the health care system (medicine availability and cost), and (iii) the patient’s specific features (e.g., hand-mouth coordination, inspiratory airflow and/or dexterity) [2][3]. </w:t>
      </w:r>
    </w:p>
    <w:p w14:paraId="5B6FA08D" w14:textId="77777777" w:rsidR="00EC6269" w:rsidRPr="002643FE" w:rsidRDefault="00EC6269" w:rsidP="00EC6269">
      <w:pPr>
        <w:rPr>
          <w:sz w:val="20"/>
          <w:szCs w:val="22"/>
        </w:rPr>
      </w:pPr>
      <w:r w:rsidRPr="002643FE">
        <w:rPr>
          <w:sz w:val="20"/>
          <w:szCs w:val="22"/>
        </w:rPr>
        <w:t xml:space="preserve">Inhaled corticosteroids (ICS) are the cornerstone of the treatment of asthma and are used in more severe form of the COPD, for which patients also need a treatment with high onset of action. However, some of them, such as micronized budesonide require to be delivered twice a day or once a day at high dosage. This can increase the risk of systemic side effects and thus, decreasing the patient’s adherence to treatment. Moreover, some bronchodilators can be added to ICS following the severity of asthma. These are the cornerstone of the treatment of COPD. These different or combined inhaled medicines can be delivered at different administration frequencies, making the treatment </w:t>
      </w:r>
      <w:proofErr w:type="gramStart"/>
      <w:r w:rsidRPr="002643FE">
        <w:rPr>
          <w:sz w:val="20"/>
          <w:szCs w:val="22"/>
        </w:rPr>
        <w:t>complex</w:t>
      </w:r>
      <w:proofErr w:type="gramEnd"/>
      <w:r w:rsidRPr="002643FE">
        <w:rPr>
          <w:sz w:val="20"/>
          <w:szCs w:val="22"/>
        </w:rPr>
        <w:t xml:space="preserve"> and increasing the risk of crucial errors, thus leading to the loss of the disease control. To avoid it, the acquisition of appropriate inhalation technique and use of the devices are crucial and requires cooperation between healthcare professionals and patients to enhance the treatment adherence [4][5]. Therefore, the simplification of treatment by developing a formulation with the desired therapeutic effects, minimal systemic exposure and delivered once daily could significantly improve the control of the disease, especially for patients with adherence and/or inhalation technique issues [6][7]. Moreover, dry powders for inhalation are sensitive to humidity (e.g., exhalation inside the device before dose inhalation) and inadequate environmental exposure could significantly reduce the dose reaching the lungs and thus </w:t>
      </w:r>
      <w:r w:rsidRPr="002643FE">
        <w:rPr>
          <w:sz w:val="20"/>
          <w:szCs w:val="22"/>
        </w:rPr>
        <w:lastRenderedPageBreak/>
        <w:t xml:space="preserve">decrease the treatment efficacy [4][8]. </w:t>
      </w:r>
      <w:proofErr w:type="gramStart"/>
      <w:r w:rsidRPr="002643FE">
        <w:rPr>
          <w:sz w:val="20"/>
          <w:szCs w:val="22"/>
        </w:rPr>
        <w:t>In order to</w:t>
      </w:r>
      <w:proofErr w:type="gramEnd"/>
      <w:r w:rsidRPr="002643FE">
        <w:rPr>
          <w:sz w:val="20"/>
          <w:szCs w:val="22"/>
        </w:rPr>
        <w:t xml:space="preserve"> overcome these challenges, the aim of this project is to develop dry powder for inhalation based on a lipid matrix to (</w:t>
      </w:r>
      <w:proofErr w:type="spellStart"/>
      <w:r w:rsidRPr="002643FE">
        <w:rPr>
          <w:sz w:val="20"/>
          <w:szCs w:val="22"/>
        </w:rPr>
        <w:t>i</w:t>
      </w:r>
      <w:proofErr w:type="spellEnd"/>
      <w:r w:rsidRPr="002643FE">
        <w:rPr>
          <w:sz w:val="20"/>
          <w:szCs w:val="22"/>
        </w:rPr>
        <w:t xml:space="preserve">) protect BUD against the humidity, (ii) slow its release in lung fluids and (iii) increase its lung deposition using an easy scalable particle engineering technique. </w:t>
      </w:r>
    </w:p>
    <w:p w14:paraId="646F301D" w14:textId="77777777" w:rsidR="00EC6269" w:rsidRPr="00CB3ACD" w:rsidRDefault="00EC6269" w:rsidP="00EC6269">
      <w:r w:rsidRPr="00CB3ACD">
        <w:rPr>
          <w:b/>
          <w:bCs/>
        </w:rPr>
        <w:t>Materials and Methods </w:t>
      </w:r>
    </w:p>
    <w:p w14:paraId="1895C226" w14:textId="77777777" w:rsidR="00EC6269" w:rsidRPr="002643FE" w:rsidRDefault="00EC6269" w:rsidP="00EC6269">
      <w:pPr>
        <w:rPr>
          <w:i/>
          <w:iCs/>
          <w:sz w:val="20"/>
          <w:szCs w:val="22"/>
          <w:u w:val="single"/>
        </w:rPr>
      </w:pPr>
      <w:r w:rsidRPr="002643FE">
        <w:rPr>
          <w:i/>
          <w:iCs/>
          <w:sz w:val="20"/>
          <w:szCs w:val="22"/>
          <w:u w:val="single"/>
        </w:rPr>
        <w:t>Production of the dry powders for inhalation</w:t>
      </w:r>
    </w:p>
    <w:p w14:paraId="4445D7B6" w14:textId="77777777" w:rsidR="00EC6269" w:rsidRPr="002643FE" w:rsidRDefault="00EC6269" w:rsidP="00EC6269">
      <w:pPr>
        <w:rPr>
          <w:sz w:val="20"/>
          <w:szCs w:val="22"/>
        </w:rPr>
      </w:pPr>
      <w:r w:rsidRPr="002643FE">
        <w:rPr>
          <w:sz w:val="20"/>
          <w:szCs w:val="22"/>
        </w:rPr>
        <w:t xml:space="preserve">BUD (Sterling SPA, </w:t>
      </w:r>
      <w:proofErr w:type="spellStart"/>
      <w:r w:rsidRPr="002643FE">
        <w:rPr>
          <w:sz w:val="20"/>
          <w:szCs w:val="22"/>
        </w:rPr>
        <w:t>Corciano</w:t>
      </w:r>
      <w:proofErr w:type="spellEnd"/>
      <w:r w:rsidRPr="002643FE">
        <w:rPr>
          <w:sz w:val="20"/>
          <w:szCs w:val="22"/>
        </w:rPr>
        <w:t xml:space="preserve">, Italy) was first solubilized in Isopropanol (Merck Millipore, Darmstadt, Germany) heated at 65°C then HCO (HCO </w:t>
      </w:r>
      <w:proofErr w:type="spellStart"/>
      <w:r w:rsidRPr="002643FE">
        <w:rPr>
          <w:sz w:val="20"/>
          <w:szCs w:val="22"/>
        </w:rPr>
        <w:t>Kolliwax</w:t>
      </w:r>
      <w:proofErr w:type="spellEnd"/>
      <w:r w:rsidRPr="002643FE">
        <w:rPr>
          <w:sz w:val="20"/>
          <w:szCs w:val="22"/>
        </w:rPr>
        <w:t xml:space="preserve"> from BASF, Ludwigshafen, Germany) and TPGS (Tokyo Chemical Industry, </w:t>
      </w:r>
      <w:proofErr w:type="spellStart"/>
      <w:r w:rsidRPr="002643FE">
        <w:rPr>
          <w:sz w:val="20"/>
          <w:szCs w:val="22"/>
        </w:rPr>
        <w:t>Zwijndrecht</w:t>
      </w:r>
      <w:proofErr w:type="spellEnd"/>
      <w:r w:rsidRPr="002643FE">
        <w:rPr>
          <w:sz w:val="20"/>
          <w:szCs w:val="22"/>
        </w:rPr>
        <w:t>, Belgium) were added to the heated solution. The solution was spray-dried using a B-290 Mini Spray Dryer (</w:t>
      </w:r>
      <w:proofErr w:type="spellStart"/>
      <w:r w:rsidRPr="002643FE">
        <w:rPr>
          <w:sz w:val="20"/>
          <w:szCs w:val="22"/>
        </w:rPr>
        <w:t>Büchi</w:t>
      </w:r>
      <w:proofErr w:type="spellEnd"/>
      <w:r w:rsidRPr="002643FE">
        <w:rPr>
          <w:sz w:val="20"/>
          <w:szCs w:val="22"/>
        </w:rPr>
        <w:t xml:space="preserve"> </w:t>
      </w:r>
      <w:proofErr w:type="spellStart"/>
      <w:r w:rsidRPr="002643FE">
        <w:rPr>
          <w:sz w:val="20"/>
          <w:szCs w:val="22"/>
        </w:rPr>
        <w:t>Labortechnik</w:t>
      </w:r>
      <w:proofErr w:type="spellEnd"/>
      <w:r w:rsidRPr="002643FE">
        <w:rPr>
          <w:sz w:val="20"/>
          <w:szCs w:val="22"/>
        </w:rPr>
        <w:t xml:space="preserve"> AG, </w:t>
      </w:r>
      <w:proofErr w:type="spellStart"/>
      <w:r w:rsidRPr="002643FE">
        <w:rPr>
          <w:sz w:val="20"/>
          <w:szCs w:val="22"/>
        </w:rPr>
        <w:t>Flawil</w:t>
      </w:r>
      <w:proofErr w:type="spellEnd"/>
      <w:r w:rsidRPr="002643FE">
        <w:rPr>
          <w:sz w:val="20"/>
          <w:szCs w:val="22"/>
        </w:rPr>
        <w:t>, Switzerland) with the following parameters: feed rate 2.8 – 3.0 g/min, inlet temperature 70°C, outlet temperature 43 – 47 °C, 0.7 mm two-fluid nozzle, 1.5 mm nozzle-cap, compressed air at 800 L/min, and drying air flow at 35 m</w:t>
      </w:r>
      <w:r w:rsidRPr="002643FE">
        <w:rPr>
          <w:sz w:val="20"/>
          <w:szCs w:val="22"/>
          <w:vertAlign w:val="superscript"/>
        </w:rPr>
        <w:t>3</w:t>
      </w:r>
      <w:r w:rsidRPr="002643FE">
        <w:rPr>
          <w:sz w:val="20"/>
          <w:szCs w:val="22"/>
        </w:rPr>
        <w:t>/h. The inhalable particles produced were stored in a closed glass container at +22 (</w:t>
      </w:r>
      <w:r w:rsidRPr="002643FE">
        <w:rPr>
          <w:rFonts w:cstheme="minorHAnsi"/>
          <w:sz w:val="20"/>
          <w:szCs w:val="22"/>
        </w:rPr>
        <w:t>±</w:t>
      </w:r>
      <w:r w:rsidRPr="002643FE">
        <w:rPr>
          <w:sz w:val="20"/>
          <w:szCs w:val="22"/>
        </w:rPr>
        <w:t xml:space="preserve">2) °C in a desiccator. </w:t>
      </w:r>
    </w:p>
    <w:p w14:paraId="46714BE4" w14:textId="77777777" w:rsidR="00EC6269" w:rsidRPr="002643FE" w:rsidRDefault="00EC6269" w:rsidP="00EC6269">
      <w:pPr>
        <w:rPr>
          <w:i/>
          <w:iCs/>
          <w:sz w:val="20"/>
          <w:szCs w:val="22"/>
          <w:u w:val="single"/>
        </w:rPr>
      </w:pPr>
      <w:r w:rsidRPr="002643FE">
        <w:rPr>
          <w:i/>
          <w:iCs/>
          <w:sz w:val="20"/>
          <w:szCs w:val="22"/>
          <w:u w:val="single"/>
        </w:rPr>
        <w:t>Budesonide determination</w:t>
      </w:r>
    </w:p>
    <w:p w14:paraId="03793D74" w14:textId="77777777" w:rsidR="00EC6269" w:rsidRPr="002643FE" w:rsidRDefault="00EC6269" w:rsidP="00EC6269">
      <w:pPr>
        <w:rPr>
          <w:sz w:val="20"/>
          <w:szCs w:val="22"/>
        </w:rPr>
      </w:pPr>
      <w:r w:rsidRPr="002643FE">
        <w:rPr>
          <w:sz w:val="20"/>
          <w:szCs w:val="22"/>
        </w:rPr>
        <w:t xml:space="preserve">Quantification of BUD content was performed using the HPLC-UV method and a column </w:t>
      </w:r>
      <w:proofErr w:type="spellStart"/>
      <w:r w:rsidRPr="002643FE">
        <w:rPr>
          <w:sz w:val="20"/>
          <w:szCs w:val="22"/>
        </w:rPr>
        <w:t>Alltima</w:t>
      </w:r>
      <w:proofErr w:type="spellEnd"/>
      <w:r w:rsidRPr="002643FE">
        <w:rPr>
          <w:sz w:val="20"/>
          <w:szCs w:val="22"/>
        </w:rPr>
        <w:t xml:space="preserve"> C18 (5µm), 4.6 x 150 mm (</w:t>
      </w:r>
      <w:proofErr w:type="spellStart"/>
      <w:r w:rsidRPr="002643FE">
        <w:rPr>
          <w:sz w:val="20"/>
          <w:szCs w:val="22"/>
        </w:rPr>
        <w:t>Hichrom</w:t>
      </w:r>
      <w:proofErr w:type="spellEnd"/>
      <w:r w:rsidRPr="002643FE">
        <w:rPr>
          <w:sz w:val="20"/>
          <w:szCs w:val="22"/>
        </w:rPr>
        <w:t xml:space="preserve">, UK). The mobile phase was a mixture of sodium phosphate buffer pH 3.2 and ACN (65 :35 v/v), previously filtered under vacuum on a </w:t>
      </w:r>
      <w:proofErr w:type="spellStart"/>
      <w:r w:rsidRPr="002643FE">
        <w:rPr>
          <w:sz w:val="20"/>
          <w:szCs w:val="22"/>
        </w:rPr>
        <w:t>Sterriccup</w:t>
      </w:r>
      <w:proofErr w:type="spellEnd"/>
      <w:r w:rsidRPr="002643FE">
        <w:rPr>
          <w:rFonts w:cstheme="minorHAnsi"/>
          <w:sz w:val="20"/>
          <w:szCs w:val="22"/>
        </w:rPr>
        <w:t>®</w:t>
      </w:r>
      <w:r w:rsidRPr="002643FE">
        <w:rPr>
          <w:sz w:val="20"/>
          <w:szCs w:val="22"/>
        </w:rPr>
        <w:t xml:space="preserve"> Quick Release Filter Durapore</w:t>
      </w:r>
      <w:r w:rsidRPr="002643FE">
        <w:rPr>
          <w:rFonts w:cstheme="minorHAnsi"/>
          <w:sz w:val="20"/>
          <w:szCs w:val="22"/>
        </w:rPr>
        <w:t>®</w:t>
      </w:r>
      <w:r w:rsidRPr="002643FE">
        <w:rPr>
          <w:sz w:val="20"/>
          <w:szCs w:val="22"/>
        </w:rPr>
        <w:t xml:space="preserve"> with a 0.22 µm pore size PVDF membrane (Merck, Darmstadt, Germany). Chromatographic analysis was performed with an isocratic flow rate of 1.5 ml/min, at 40°C with an injection volume of 100 µl. The run time was 22 min at the wavelength of 245 nm for detection. Both epimers A and B chromatographic peaks were observed respectively at 19 min and 17 min. </w:t>
      </w:r>
    </w:p>
    <w:p w14:paraId="5D373387" w14:textId="77777777" w:rsidR="00EC6269" w:rsidRPr="002643FE" w:rsidRDefault="00EC6269" w:rsidP="00EC6269">
      <w:pPr>
        <w:rPr>
          <w:i/>
          <w:iCs/>
          <w:sz w:val="20"/>
          <w:szCs w:val="22"/>
          <w:u w:val="single"/>
        </w:rPr>
      </w:pPr>
      <w:r w:rsidRPr="002643FE">
        <w:rPr>
          <w:i/>
          <w:iCs/>
          <w:sz w:val="20"/>
          <w:szCs w:val="22"/>
          <w:u w:val="single"/>
        </w:rPr>
        <w:t>Assessment of the aerodynamic performances</w:t>
      </w:r>
    </w:p>
    <w:p w14:paraId="29C09836" w14:textId="77777777" w:rsidR="00EC6269" w:rsidRPr="002643FE" w:rsidRDefault="00EC6269" w:rsidP="00EC6269">
      <w:pPr>
        <w:rPr>
          <w:sz w:val="20"/>
          <w:szCs w:val="22"/>
        </w:rPr>
      </w:pPr>
      <w:r w:rsidRPr="002643FE">
        <w:rPr>
          <w:sz w:val="20"/>
          <w:szCs w:val="22"/>
        </w:rPr>
        <w:t>The Next Generation Impactor (NGI, Copley Scientific LTD., Nottingham, UK) was used as described by the European Pharmacopeia (i.e., Apparatus E). Fast Screening Impactors (FSI, Copley Scientific LTD. Nottingham, UK) that are not supported by the European Pharmacopeia were used for a first screening before using the Next Generation Impactor that allows a better discrimination of the particle aerodynamic size to be obtained. FSI was used with a 90 mm glass membrane filter with a 1 µm pore size (Pall Corporation, New York, USA) for recovery. The flow rate was set at 100 L/min using a DFM 2000 Flowmeter connected to a critical flow controller model TPK 2000 and to two HCP5 pumps (Copley Scientific LTD., Nottingham, UK) to obtain a P3/P2 inferior to 0.5. The flow rate of 100 L/min (flow rate for dry powder inhaler) [9] was maintained for 2.4s. Impaction is performed using a size 3 HPMC Quali-V®-I capsule inserted into a low resistance RS01 device connected onto the induction port using an RS01 adapter (Copley Scientific Ltd., Nottingham, UK). The amounts of BUD in the capsule, device and each compartment of the impactors were solubilized in a heated mixture of IPA and water (60 :40 v/v) supplemented with 0.5% poloxamer 407 (</w:t>
      </w:r>
      <w:proofErr w:type="spellStart"/>
      <w:r w:rsidRPr="002643FE">
        <w:rPr>
          <w:sz w:val="20"/>
          <w:szCs w:val="22"/>
        </w:rPr>
        <w:t>w:v</w:t>
      </w:r>
      <w:proofErr w:type="spellEnd"/>
      <w:r w:rsidRPr="002643FE">
        <w:rPr>
          <w:sz w:val="20"/>
          <w:szCs w:val="22"/>
        </w:rPr>
        <w:t xml:space="preserve">). The BUD recovered in solution was sonicated for 30 – 60 min and the quantification of the drug content was performed by the HPLC-UV method as described above. From this quantification, parameters such as FPD (Fine Particle Dose), GSD (Geometric Standard Deviation) and MMAD (Mass Median Aerodynamic Diameter) were determined using Copley Inhaler Testing Data Analysis Software (Copley Scientific LTD., Nottingham, UK).  </w:t>
      </w:r>
    </w:p>
    <w:p w14:paraId="5C9C251C" w14:textId="77777777" w:rsidR="00EC6269" w:rsidRPr="002643FE" w:rsidRDefault="00EC6269" w:rsidP="00EC6269">
      <w:pPr>
        <w:rPr>
          <w:i/>
          <w:iCs/>
          <w:sz w:val="20"/>
          <w:szCs w:val="22"/>
          <w:u w:val="single"/>
        </w:rPr>
      </w:pPr>
      <w:r w:rsidRPr="002643FE">
        <w:rPr>
          <w:i/>
          <w:iCs/>
          <w:sz w:val="20"/>
          <w:szCs w:val="22"/>
          <w:u w:val="single"/>
        </w:rPr>
        <w:t>Assessment of the release profile</w:t>
      </w:r>
    </w:p>
    <w:p w14:paraId="6D4886AD" w14:textId="77777777" w:rsidR="00EC6269" w:rsidRDefault="00EC6269" w:rsidP="00EC6269">
      <w:pPr>
        <w:rPr>
          <w:sz w:val="20"/>
          <w:szCs w:val="22"/>
        </w:rPr>
      </w:pPr>
      <w:r w:rsidRPr="002643FE">
        <w:rPr>
          <w:sz w:val="20"/>
          <w:szCs w:val="22"/>
        </w:rPr>
        <w:t xml:space="preserve">The fine particle dose (FPD) was impacted on a 90 mm glass filter 1 µm membrane  (Pall Corporation, New York, USA) using the FSI (Copley Scientific LTD., Nottingham, UK) at 100 L/min during 2.4 sec. Then, the membrane was covered with a PTFE mesh screen with the powder deposited upwards and fixed on a watch glass with clips. Th assembly was then submerged in the dissolution vessel of a 708-DS dissolution apparatus connected to an 805-DS autosampler (Agilent Technologies, </w:t>
      </w:r>
      <w:proofErr w:type="spellStart"/>
      <w:r w:rsidRPr="002643FE">
        <w:rPr>
          <w:sz w:val="20"/>
          <w:szCs w:val="22"/>
        </w:rPr>
        <w:t>Machelen</w:t>
      </w:r>
      <w:proofErr w:type="spellEnd"/>
      <w:r w:rsidRPr="002643FE">
        <w:rPr>
          <w:sz w:val="20"/>
          <w:szCs w:val="22"/>
        </w:rPr>
        <w:t xml:space="preserve">, Belgium). Each vessel was filled with 1L of reconstituted PBS (according to EU. Pharmacopeia, Dissolution Test (reference 01/2008: 20903, Apparatus 2, </w:t>
      </w:r>
      <w:r w:rsidRPr="002643FE">
        <w:rPr>
          <w:i/>
          <w:iCs/>
          <w:sz w:val="20"/>
          <w:szCs w:val="22"/>
        </w:rPr>
        <w:t>Buffer Stage</w:t>
      </w:r>
      <w:r w:rsidRPr="002643FE">
        <w:rPr>
          <w:sz w:val="20"/>
          <w:szCs w:val="22"/>
        </w:rPr>
        <w:t>) at pH 7.4 supplemented with 0.02% Tween 20 (</w:t>
      </w:r>
      <w:proofErr w:type="spellStart"/>
      <w:r w:rsidRPr="002643FE">
        <w:rPr>
          <w:sz w:val="20"/>
          <w:szCs w:val="22"/>
        </w:rPr>
        <w:t>w:v</w:t>
      </w:r>
      <w:proofErr w:type="spellEnd"/>
      <w:r w:rsidRPr="002643FE">
        <w:rPr>
          <w:sz w:val="20"/>
          <w:szCs w:val="22"/>
        </w:rPr>
        <w:t xml:space="preserve">). The temperature of the vessels was set at 37 °C, the paddles were fixed at 25 +/- 2 mm between the paddle blade and the watch glass/PTFE assembly, and then set at a rotating speed of 50 rpm for 24 hours. Timepoints for sampling ranged from 5 min to 1440 min and the 100% BUD dissolution value was assessed by setting a speed of 250 rpm for 3 hours. Drug content was then assessed using the HPLC-UV method as described above. </w:t>
      </w:r>
    </w:p>
    <w:p w14:paraId="5D911686" w14:textId="77777777" w:rsidR="003C0C23" w:rsidRPr="002643FE" w:rsidRDefault="003C0C23" w:rsidP="00EC6269">
      <w:pPr>
        <w:rPr>
          <w:sz w:val="20"/>
          <w:szCs w:val="22"/>
        </w:rPr>
      </w:pPr>
    </w:p>
    <w:p w14:paraId="12637D15" w14:textId="77777777" w:rsidR="00EC6269" w:rsidRPr="002643FE" w:rsidRDefault="00EC6269" w:rsidP="00EC6269">
      <w:pPr>
        <w:rPr>
          <w:b/>
          <w:bCs/>
          <w:sz w:val="20"/>
          <w:szCs w:val="22"/>
        </w:rPr>
      </w:pPr>
      <w:r w:rsidRPr="002643FE">
        <w:rPr>
          <w:b/>
          <w:bCs/>
          <w:sz w:val="20"/>
          <w:szCs w:val="22"/>
        </w:rPr>
        <w:lastRenderedPageBreak/>
        <w:t>Results and Discussion</w:t>
      </w:r>
    </w:p>
    <w:p w14:paraId="0DC24734" w14:textId="77777777" w:rsidR="00EC6269" w:rsidRPr="002643FE" w:rsidRDefault="00EC6269" w:rsidP="00EC6269">
      <w:pPr>
        <w:rPr>
          <w:sz w:val="20"/>
          <w:szCs w:val="22"/>
        </w:rPr>
      </w:pPr>
      <w:r w:rsidRPr="002643FE">
        <w:rPr>
          <w:sz w:val="20"/>
          <w:szCs w:val="22"/>
        </w:rPr>
        <w:t>The BUD formulations consisted in embedding BUD in 95% (BH5.5) or 80% (BH20.5) of a lipid matrix composed of highly hydrophobic and biocompatible triglyceride and 5% of TPGS (</w:t>
      </w:r>
      <w:proofErr w:type="spellStart"/>
      <w:r w:rsidRPr="002643FE">
        <w:rPr>
          <w:sz w:val="20"/>
          <w:szCs w:val="22"/>
        </w:rPr>
        <w:t>w:v</w:t>
      </w:r>
      <w:proofErr w:type="spellEnd"/>
      <w:r w:rsidRPr="002643FE">
        <w:rPr>
          <w:sz w:val="20"/>
          <w:szCs w:val="22"/>
        </w:rPr>
        <w:t xml:space="preserve">). TPGS is PEGylated and is used to slow down the clearance of the particles in the lungs. The formulation was easily and rapidly spray dried with an appropriate yield (53.48% and 44.3% respectively for BH5.5 and BH20.5). HCO and TPGS appear to be good candidates to improve the aerodynamic performance (Table 1) and extend the release of BUD from the DPI (Dry Powder Inhaler). Both BUD formulations with the lipid matrix showed a greater FPF value compared with the micronized budesonide (BH100). The aerodynamic evaluation showed that the greater part of the impacted fraction remained in the third and fourth compartments (data not shown) of the NGI (cut-off diameter of 2.18 µm and 1.31 µm, respectively) as well as a MMAD </w:t>
      </w:r>
      <w:r w:rsidRPr="002643FE">
        <w:rPr>
          <w:rFonts w:cstheme="minorHAnsi"/>
          <w:sz w:val="20"/>
          <w:szCs w:val="22"/>
        </w:rPr>
        <w:t>±</w:t>
      </w:r>
      <w:r w:rsidRPr="002643FE">
        <w:rPr>
          <w:sz w:val="20"/>
          <w:szCs w:val="22"/>
        </w:rPr>
        <w:t xml:space="preserve"> GSD comprised between 1-5 µm meaning that the formulation could be deposited in the whole lung, including the conducting zone and in the respiratory zone. </w:t>
      </w:r>
    </w:p>
    <w:p w14:paraId="71324EAF" w14:textId="77777777" w:rsidR="00EC6269" w:rsidRPr="002643FE" w:rsidRDefault="00EC6269" w:rsidP="00EC6269">
      <w:pPr>
        <w:rPr>
          <w:sz w:val="20"/>
        </w:rPr>
      </w:pPr>
      <w:r w:rsidRPr="002643FE">
        <w:rPr>
          <w:sz w:val="20"/>
          <w:u w:val="single"/>
        </w:rPr>
        <w:t>Table 1</w:t>
      </w:r>
      <w:r w:rsidRPr="002643FE">
        <w:rPr>
          <w:sz w:val="20"/>
        </w:rPr>
        <w:t xml:space="preserve">: Aerodynamic characteristic values for budesonide (BUD) formulations measured from a 10.00 mg powder mass (BUD content: 5.138 </w:t>
      </w:r>
      <w:r w:rsidRPr="002643FE">
        <w:rPr>
          <w:rFonts w:cstheme="minorHAnsi"/>
          <w:sz w:val="20"/>
        </w:rPr>
        <w:t>±0.008 for BH5.5; 22.69 ±0.03 for BH20.5; 103 ±3 for BH100 (% w:w)</w:t>
      </w:r>
      <w:r w:rsidRPr="002643FE">
        <w:rPr>
          <w:sz w:val="20"/>
        </w:rPr>
        <w:t xml:space="preserve">) in a size 3 HPMC capsule in a low resistance RS01 device, using the NGI operated at 100 </w:t>
      </w:r>
      <w:r w:rsidRPr="002643FE">
        <w:rPr>
          <w:rFonts w:cstheme="minorHAnsi"/>
          <w:sz w:val="20"/>
        </w:rPr>
        <w:t>±</w:t>
      </w:r>
      <w:r w:rsidRPr="002643FE">
        <w:rPr>
          <w:sz w:val="20"/>
        </w:rPr>
        <w:t xml:space="preserve"> 5 L/min for 2.4s. Data are expressed as mean </w:t>
      </w:r>
      <w:r w:rsidRPr="002643FE">
        <w:rPr>
          <w:rFonts w:cstheme="minorHAnsi"/>
          <w:sz w:val="20"/>
        </w:rPr>
        <w:t>±</w:t>
      </w:r>
      <w:r w:rsidRPr="002643FE">
        <w:rPr>
          <w:sz w:val="20"/>
        </w:rPr>
        <w:t xml:space="preserve">SD (n = 3, mean </w:t>
      </w:r>
      <w:r w:rsidRPr="002643FE">
        <w:rPr>
          <w:rFonts w:cstheme="minorHAnsi"/>
          <w:sz w:val="20"/>
        </w:rPr>
        <w:t>±</w:t>
      </w:r>
      <w:proofErr w:type="spellStart"/>
      <w:r w:rsidRPr="002643FE">
        <w:rPr>
          <w:sz w:val="20"/>
        </w:rPr>
        <w:t>s.d</w:t>
      </w:r>
      <w:proofErr w:type="spellEnd"/>
      <w:r w:rsidRPr="002643FE">
        <w:rPr>
          <w:sz w:val="20"/>
        </w:rPr>
        <w:t>)</w:t>
      </w:r>
    </w:p>
    <w:tbl>
      <w:tblPr>
        <w:tblStyle w:val="TableGrid"/>
        <w:tblW w:w="9351" w:type="dxa"/>
        <w:tblLook w:val="04A0" w:firstRow="1" w:lastRow="0" w:firstColumn="1" w:lastColumn="0" w:noHBand="0" w:noVBand="1"/>
      </w:tblPr>
      <w:tblGrid>
        <w:gridCol w:w="1256"/>
        <w:gridCol w:w="1434"/>
        <w:gridCol w:w="1788"/>
        <w:gridCol w:w="975"/>
        <w:gridCol w:w="1073"/>
        <w:gridCol w:w="1274"/>
        <w:gridCol w:w="1551"/>
      </w:tblGrid>
      <w:tr w:rsidR="00EC6269" w14:paraId="2D18B458" w14:textId="77777777" w:rsidTr="00A75D1A">
        <w:tc>
          <w:tcPr>
            <w:tcW w:w="1129" w:type="dxa"/>
          </w:tcPr>
          <w:p w14:paraId="320183A4" w14:textId="77777777" w:rsidR="00EC6269" w:rsidRPr="00BB0CDE" w:rsidRDefault="00EC6269" w:rsidP="00A75D1A">
            <w:pPr>
              <w:jc w:val="center"/>
              <w:rPr>
                <w:b/>
                <w:bCs/>
                <w:noProof/>
                <w:szCs w:val="18"/>
                <w:lang w:val="en-GB"/>
              </w:rPr>
            </w:pPr>
            <w:r w:rsidRPr="00BB0CDE">
              <w:rPr>
                <w:b/>
                <w:bCs/>
                <w:noProof/>
                <w:szCs w:val="18"/>
                <w:lang w:val="en-GB"/>
              </w:rPr>
              <w:t>Formulation</w:t>
            </w:r>
          </w:p>
        </w:tc>
        <w:tc>
          <w:tcPr>
            <w:tcW w:w="1459" w:type="dxa"/>
          </w:tcPr>
          <w:p w14:paraId="7F23EBFD" w14:textId="77777777" w:rsidR="00EC6269" w:rsidRPr="00BB0CDE" w:rsidRDefault="00EC6269" w:rsidP="00A75D1A">
            <w:pPr>
              <w:jc w:val="center"/>
              <w:rPr>
                <w:b/>
                <w:bCs/>
                <w:noProof/>
                <w:szCs w:val="18"/>
                <w:lang w:val="en-GB"/>
              </w:rPr>
            </w:pPr>
            <w:r w:rsidRPr="00BB0CDE">
              <w:rPr>
                <w:b/>
                <w:bCs/>
                <w:noProof/>
                <w:szCs w:val="18"/>
                <w:lang w:val="en-GB"/>
              </w:rPr>
              <w:t>BUD content</w:t>
            </w:r>
            <w:r>
              <w:rPr>
                <w:b/>
                <w:bCs/>
                <w:noProof/>
                <w:szCs w:val="18"/>
                <w:lang w:val="en-GB"/>
              </w:rPr>
              <w:t xml:space="preserve"> (</w:t>
            </w:r>
            <w:r w:rsidRPr="00BB0CDE">
              <w:rPr>
                <w:b/>
                <w:bCs/>
                <w:noProof/>
                <w:szCs w:val="18"/>
                <w:lang w:val="en-GB"/>
              </w:rPr>
              <w:t>%)</w:t>
            </w:r>
          </w:p>
        </w:tc>
        <w:tc>
          <w:tcPr>
            <w:tcW w:w="1802" w:type="dxa"/>
          </w:tcPr>
          <w:p w14:paraId="202138B5" w14:textId="77777777" w:rsidR="00EC6269" w:rsidRPr="00BB0CDE" w:rsidRDefault="00EC6269" w:rsidP="00A75D1A">
            <w:pPr>
              <w:jc w:val="center"/>
              <w:rPr>
                <w:b/>
                <w:bCs/>
                <w:noProof/>
                <w:szCs w:val="18"/>
                <w:lang w:val="en-GB"/>
              </w:rPr>
            </w:pPr>
            <w:r w:rsidRPr="00BB0CDE">
              <w:rPr>
                <w:b/>
                <w:bCs/>
                <w:noProof/>
                <w:szCs w:val="18"/>
                <w:lang w:val="en-GB"/>
              </w:rPr>
              <w:t xml:space="preserve">Ratio </w:t>
            </w:r>
            <w:r>
              <w:rPr>
                <w:b/>
                <w:bCs/>
                <w:noProof/>
                <w:szCs w:val="18"/>
                <w:lang w:val="en-GB"/>
              </w:rPr>
              <w:t xml:space="preserve"> B</w:t>
            </w:r>
            <w:r w:rsidRPr="00BB0CDE">
              <w:rPr>
                <w:b/>
                <w:bCs/>
                <w:noProof/>
                <w:szCs w:val="18"/>
                <w:lang w:val="en-GB"/>
              </w:rPr>
              <w:t>UD:Excipient (% w/w)</w:t>
            </w:r>
          </w:p>
        </w:tc>
        <w:tc>
          <w:tcPr>
            <w:tcW w:w="992" w:type="dxa"/>
          </w:tcPr>
          <w:p w14:paraId="35892B88" w14:textId="77777777" w:rsidR="00EC6269" w:rsidRPr="00BB0CDE" w:rsidRDefault="00EC6269" w:rsidP="00A75D1A">
            <w:pPr>
              <w:jc w:val="center"/>
              <w:rPr>
                <w:b/>
                <w:bCs/>
                <w:noProof/>
                <w:szCs w:val="18"/>
                <w:lang w:val="en-GB"/>
              </w:rPr>
            </w:pPr>
            <w:r w:rsidRPr="00BB0CDE">
              <w:rPr>
                <w:b/>
                <w:bCs/>
                <w:noProof/>
                <w:szCs w:val="18"/>
                <w:lang w:val="en-GB"/>
              </w:rPr>
              <w:t>FPF</w:t>
            </w:r>
            <w:r>
              <w:rPr>
                <w:b/>
                <w:bCs/>
                <w:noProof/>
                <w:szCs w:val="18"/>
                <w:lang w:val="en-GB"/>
              </w:rPr>
              <w:t xml:space="preserve"> </w:t>
            </w:r>
            <w:r w:rsidRPr="00BB0CDE">
              <w:rPr>
                <w:b/>
                <w:bCs/>
                <w:noProof/>
                <w:szCs w:val="18"/>
                <w:lang w:val="en-GB"/>
              </w:rPr>
              <w:t>(%)</w:t>
            </w:r>
          </w:p>
        </w:tc>
        <w:tc>
          <w:tcPr>
            <w:tcW w:w="1090" w:type="dxa"/>
          </w:tcPr>
          <w:p w14:paraId="6A57C796" w14:textId="77777777" w:rsidR="00EC6269" w:rsidRPr="00BB0CDE" w:rsidRDefault="00EC6269" w:rsidP="00A75D1A">
            <w:pPr>
              <w:jc w:val="center"/>
              <w:rPr>
                <w:b/>
                <w:bCs/>
                <w:noProof/>
                <w:szCs w:val="18"/>
                <w:lang w:val="en-GB"/>
              </w:rPr>
            </w:pPr>
            <w:r w:rsidRPr="00BB0CDE">
              <w:rPr>
                <w:b/>
                <w:bCs/>
                <w:noProof/>
                <w:szCs w:val="18"/>
                <w:lang w:val="en-GB"/>
              </w:rPr>
              <w:t>FPD</w:t>
            </w:r>
            <w:r>
              <w:rPr>
                <w:b/>
                <w:bCs/>
                <w:noProof/>
                <w:szCs w:val="18"/>
                <w:lang w:val="en-GB"/>
              </w:rPr>
              <w:t xml:space="preserve"> </w:t>
            </w:r>
            <w:r w:rsidRPr="00BB0CDE">
              <w:rPr>
                <w:b/>
                <w:bCs/>
                <w:noProof/>
                <w:szCs w:val="18"/>
                <w:lang w:val="en-GB"/>
              </w:rPr>
              <w:t>(µg)</w:t>
            </w:r>
          </w:p>
        </w:tc>
        <w:tc>
          <w:tcPr>
            <w:tcW w:w="1295" w:type="dxa"/>
          </w:tcPr>
          <w:p w14:paraId="4490B4C3" w14:textId="77777777" w:rsidR="00EC6269" w:rsidRPr="00BB0CDE" w:rsidRDefault="00EC6269" w:rsidP="00A75D1A">
            <w:pPr>
              <w:jc w:val="center"/>
              <w:rPr>
                <w:b/>
                <w:bCs/>
                <w:noProof/>
                <w:szCs w:val="18"/>
                <w:lang w:val="en-GB"/>
              </w:rPr>
            </w:pPr>
            <w:r w:rsidRPr="00BB0CDE">
              <w:rPr>
                <w:b/>
                <w:bCs/>
                <w:noProof/>
                <w:szCs w:val="18"/>
                <w:lang w:val="en-GB"/>
              </w:rPr>
              <w:t>MMAD</w:t>
            </w:r>
            <w:r>
              <w:rPr>
                <w:b/>
                <w:bCs/>
                <w:noProof/>
                <w:szCs w:val="18"/>
                <w:lang w:val="en-GB"/>
              </w:rPr>
              <w:t xml:space="preserve"> </w:t>
            </w:r>
            <w:r w:rsidRPr="00BB0CDE">
              <w:rPr>
                <w:b/>
                <w:bCs/>
                <w:noProof/>
                <w:szCs w:val="18"/>
                <w:lang w:val="en-GB"/>
              </w:rPr>
              <w:t>(µm)</w:t>
            </w:r>
          </w:p>
        </w:tc>
        <w:tc>
          <w:tcPr>
            <w:tcW w:w="1584" w:type="dxa"/>
          </w:tcPr>
          <w:p w14:paraId="7E736C8F" w14:textId="77777777" w:rsidR="00EC6269" w:rsidRPr="00BB0CDE" w:rsidRDefault="00EC6269" w:rsidP="00A75D1A">
            <w:pPr>
              <w:jc w:val="center"/>
              <w:rPr>
                <w:b/>
                <w:bCs/>
                <w:noProof/>
                <w:szCs w:val="18"/>
                <w:lang w:val="en-GB"/>
              </w:rPr>
            </w:pPr>
            <w:r w:rsidRPr="00BB0CDE">
              <w:rPr>
                <w:b/>
                <w:bCs/>
                <w:noProof/>
                <w:szCs w:val="18"/>
                <w:lang w:val="en-GB"/>
              </w:rPr>
              <w:t>GSD</w:t>
            </w:r>
            <w:r>
              <w:rPr>
                <w:b/>
                <w:bCs/>
                <w:noProof/>
                <w:szCs w:val="18"/>
                <w:lang w:val="en-GB"/>
              </w:rPr>
              <w:t xml:space="preserve"> </w:t>
            </w:r>
            <w:r w:rsidRPr="00BB0CDE">
              <w:rPr>
                <w:b/>
                <w:bCs/>
                <w:noProof/>
                <w:szCs w:val="18"/>
                <w:lang w:val="en-GB"/>
              </w:rPr>
              <w:t>(µm)</w:t>
            </w:r>
          </w:p>
        </w:tc>
      </w:tr>
      <w:tr w:rsidR="00EC6269" w14:paraId="37177061" w14:textId="77777777" w:rsidTr="00A75D1A">
        <w:tc>
          <w:tcPr>
            <w:tcW w:w="1129" w:type="dxa"/>
          </w:tcPr>
          <w:p w14:paraId="27CB5A54" w14:textId="77777777" w:rsidR="00EC6269" w:rsidRPr="00BB0CDE" w:rsidRDefault="00EC6269" w:rsidP="00A75D1A">
            <w:pPr>
              <w:jc w:val="center"/>
              <w:rPr>
                <w:b/>
                <w:bCs/>
                <w:noProof/>
                <w:szCs w:val="18"/>
                <w:lang w:val="en-GB"/>
              </w:rPr>
            </w:pPr>
            <w:r w:rsidRPr="00BB0CDE">
              <w:rPr>
                <w:b/>
                <w:bCs/>
                <w:noProof/>
                <w:szCs w:val="18"/>
                <w:lang w:val="en-GB"/>
              </w:rPr>
              <w:t>BH5.5</w:t>
            </w:r>
          </w:p>
        </w:tc>
        <w:tc>
          <w:tcPr>
            <w:tcW w:w="1459" w:type="dxa"/>
          </w:tcPr>
          <w:p w14:paraId="3F55117F" w14:textId="77777777" w:rsidR="00EC6269" w:rsidRPr="00BB0CDE" w:rsidRDefault="00EC6269" w:rsidP="00A75D1A">
            <w:pPr>
              <w:jc w:val="center"/>
              <w:rPr>
                <w:b/>
                <w:bCs/>
                <w:noProof/>
                <w:szCs w:val="18"/>
                <w:lang w:val="en-GB"/>
              </w:rPr>
            </w:pPr>
            <w:r w:rsidRPr="00BB0CDE">
              <w:rPr>
                <w:b/>
                <w:bCs/>
                <w:noProof/>
                <w:szCs w:val="18"/>
                <w:lang w:val="en-GB"/>
              </w:rPr>
              <w:t xml:space="preserve">5.138 </w:t>
            </w:r>
            <w:r w:rsidRPr="00BB0CDE">
              <w:rPr>
                <w:rFonts w:cstheme="minorHAnsi"/>
                <w:b/>
                <w:bCs/>
                <w:noProof/>
                <w:szCs w:val="18"/>
                <w:lang w:val="en-GB"/>
              </w:rPr>
              <w:t>±</w:t>
            </w:r>
            <w:r w:rsidRPr="00BB0CDE">
              <w:rPr>
                <w:b/>
                <w:bCs/>
                <w:noProof/>
                <w:szCs w:val="18"/>
                <w:lang w:val="en-GB"/>
              </w:rPr>
              <w:t xml:space="preserve"> 0.008</w:t>
            </w:r>
          </w:p>
        </w:tc>
        <w:tc>
          <w:tcPr>
            <w:tcW w:w="1802" w:type="dxa"/>
          </w:tcPr>
          <w:p w14:paraId="3D8D0BD4" w14:textId="77777777" w:rsidR="00EC6269" w:rsidRPr="00BB0CDE" w:rsidRDefault="00EC6269" w:rsidP="00A75D1A">
            <w:pPr>
              <w:jc w:val="center"/>
              <w:rPr>
                <w:b/>
                <w:bCs/>
                <w:noProof/>
                <w:szCs w:val="18"/>
                <w:lang w:val="en-GB"/>
              </w:rPr>
            </w:pPr>
            <w:r w:rsidRPr="00BB0CDE">
              <w:rPr>
                <w:b/>
                <w:bCs/>
                <w:noProof/>
                <w:szCs w:val="18"/>
                <w:lang w:val="en-GB"/>
              </w:rPr>
              <w:t>5:95</w:t>
            </w:r>
          </w:p>
        </w:tc>
        <w:tc>
          <w:tcPr>
            <w:tcW w:w="992" w:type="dxa"/>
          </w:tcPr>
          <w:p w14:paraId="670BA3EC" w14:textId="77777777" w:rsidR="00EC6269" w:rsidRPr="00BB0CDE" w:rsidRDefault="00EC6269" w:rsidP="00A75D1A">
            <w:pPr>
              <w:jc w:val="center"/>
              <w:rPr>
                <w:b/>
                <w:bCs/>
                <w:noProof/>
                <w:szCs w:val="18"/>
                <w:lang w:val="en-GB"/>
              </w:rPr>
            </w:pPr>
            <w:r w:rsidRPr="00BB0CDE">
              <w:rPr>
                <w:b/>
                <w:bCs/>
                <w:noProof/>
                <w:szCs w:val="18"/>
                <w:lang w:val="en-GB"/>
              </w:rPr>
              <w:t xml:space="preserve">53.5 </w:t>
            </w:r>
            <w:r w:rsidRPr="00BB0CDE">
              <w:rPr>
                <w:rFonts w:cstheme="minorHAnsi"/>
                <w:b/>
                <w:bCs/>
                <w:noProof/>
                <w:szCs w:val="18"/>
                <w:lang w:val="en-GB"/>
              </w:rPr>
              <w:t>±0.6</w:t>
            </w:r>
          </w:p>
        </w:tc>
        <w:tc>
          <w:tcPr>
            <w:tcW w:w="1090" w:type="dxa"/>
          </w:tcPr>
          <w:p w14:paraId="449C81C1" w14:textId="77777777" w:rsidR="00EC6269" w:rsidRPr="00BB0CDE" w:rsidRDefault="00EC6269" w:rsidP="00A75D1A">
            <w:pPr>
              <w:jc w:val="center"/>
              <w:rPr>
                <w:b/>
                <w:bCs/>
                <w:noProof/>
                <w:szCs w:val="18"/>
                <w:lang w:val="en-GB"/>
              </w:rPr>
            </w:pPr>
            <w:r w:rsidRPr="00BB0CDE">
              <w:rPr>
                <w:b/>
                <w:bCs/>
                <w:noProof/>
                <w:szCs w:val="18"/>
                <w:lang w:val="en-GB"/>
              </w:rPr>
              <w:t xml:space="preserve">273.0 </w:t>
            </w:r>
            <w:r w:rsidRPr="00BB0CDE">
              <w:rPr>
                <w:rFonts w:cstheme="minorHAnsi"/>
                <w:b/>
                <w:bCs/>
                <w:noProof/>
                <w:szCs w:val="18"/>
                <w:lang w:val="en-GB"/>
              </w:rPr>
              <w:t>±2.00</w:t>
            </w:r>
          </w:p>
        </w:tc>
        <w:tc>
          <w:tcPr>
            <w:tcW w:w="1295" w:type="dxa"/>
          </w:tcPr>
          <w:p w14:paraId="432AADF8" w14:textId="77777777" w:rsidR="00EC6269" w:rsidRPr="00BB0CDE" w:rsidRDefault="00EC6269" w:rsidP="00A75D1A">
            <w:pPr>
              <w:jc w:val="center"/>
              <w:rPr>
                <w:b/>
                <w:bCs/>
                <w:noProof/>
                <w:szCs w:val="18"/>
                <w:lang w:val="en-GB"/>
              </w:rPr>
            </w:pPr>
            <w:r w:rsidRPr="00BB0CDE">
              <w:rPr>
                <w:b/>
                <w:bCs/>
                <w:noProof/>
                <w:szCs w:val="18"/>
                <w:lang w:val="en-GB"/>
              </w:rPr>
              <w:t xml:space="preserve">2.21 </w:t>
            </w:r>
            <w:r w:rsidRPr="00BB0CDE">
              <w:rPr>
                <w:rFonts w:cstheme="minorHAnsi"/>
                <w:b/>
                <w:bCs/>
                <w:noProof/>
                <w:szCs w:val="18"/>
                <w:lang w:val="en-GB"/>
              </w:rPr>
              <w:t>±0.08</w:t>
            </w:r>
          </w:p>
        </w:tc>
        <w:tc>
          <w:tcPr>
            <w:tcW w:w="1584" w:type="dxa"/>
          </w:tcPr>
          <w:p w14:paraId="5760C94D" w14:textId="77777777" w:rsidR="00EC6269" w:rsidRPr="00BB0CDE" w:rsidRDefault="00EC6269" w:rsidP="00A75D1A">
            <w:pPr>
              <w:jc w:val="center"/>
              <w:rPr>
                <w:b/>
                <w:bCs/>
                <w:noProof/>
                <w:szCs w:val="18"/>
                <w:lang w:val="en-GB"/>
              </w:rPr>
            </w:pPr>
            <w:r w:rsidRPr="00BB0CDE">
              <w:rPr>
                <w:b/>
                <w:bCs/>
                <w:noProof/>
                <w:szCs w:val="18"/>
                <w:lang w:val="en-GB"/>
              </w:rPr>
              <w:t xml:space="preserve">1.760 </w:t>
            </w:r>
            <w:r w:rsidRPr="00BB0CDE">
              <w:rPr>
                <w:rFonts w:cstheme="minorHAnsi"/>
                <w:b/>
                <w:bCs/>
                <w:noProof/>
                <w:szCs w:val="18"/>
                <w:lang w:val="en-GB"/>
              </w:rPr>
              <w:t>±0.020</w:t>
            </w:r>
          </w:p>
        </w:tc>
      </w:tr>
      <w:tr w:rsidR="00EC6269" w14:paraId="1129D8D2" w14:textId="77777777" w:rsidTr="00A75D1A">
        <w:tc>
          <w:tcPr>
            <w:tcW w:w="1129" w:type="dxa"/>
          </w:tcPr>
          <w:p w14:paraId="193F182D" w14:textId="77777777" w:rsidR="00EC6269" w:rsidRPr="00BB0CDE" w:rsidRDefault="00EC6269" w:rsidP="00A75D1A">
            <w:pPr>
              <w:jc w:val="center"/>
              <w:rPr>
                <w:b/>
                <w:bCs/>
                <w:noProof/>
                <w:szCs w:val="18"/>
                <w:lang w:val="en-GB"/>
              </w:rPr>
            </w:pPr>
            <w:r w:rsidRPr="00BB0CDE">
              <w:rPr>
                <w:b/>
                <w:bCs/>
                <w:noProof/>
                <w:szCs w:val="18"/>
                <w:lang w:val="en-GB"/>
              </w:rPr>
              <w:t>BH20.5</w:t>
            </w:r>
          </w:p>
        </w:tc>
        <w:tc>
          <w:tcPr>
            <w:tcW w:w="1459" w:type="dxa"/>
          </w:tcPr>
          <w:p w14:paraId="248F2F25" w14:textId="77777777" w:rsidR="00EC6269" w:rsidRPr="00BB0CDE" w:rsidRDefault="00EC6269" w:rsidP="00A75D1A">
            <w:pPr>
              <w:jc w:val="center"/>
              <w:rPr>
                <w:b/>
                <w:bCs/>
                <w:noProof/>
                <w:szCs w:val="18"/>
                <w:lang w:val="en-GB"/>
              </w:rPr>
            </w:pPr>
            <w:r w:rsidRPr="00BB0CDE">
              <w:rPr>
                <w:b/>
                <w:bCs/>
                <w:noProof/>
                <w:szCs w:val="18"/>
                <w:lang w:val="en-GB"/>
              </w:rPr>
              <w:t xml:space="preserve">22.69 </w:t>
            </w:r>
            <w:r w:rsidRPr="00BB0CDE">
              <w:rPr>
                <w:rFonts w:cstheme="minorHAnsi"/>
                <w:b/>
                <w:bCs/>
                <w:noProof/>
                <w:szCs w:val="18"/>
                <w:lang w:val="en-GB"/>
              </w:rPr>
              <w:t xml:space="preserve">± </w:t>
            </w:r>
            <w:r w:rsidRPr="00BB0CDE">
              <w:rPr>
                <w:b/>
                <w:bCs/>
                <w:noProof/>
                <w:szCs w:val="18"/>
                <w:lang w:val="en-GB"/>
              </w:rPr>
              <w:t>0.030</w:t>
            </w:r>
          </w:p>
        </w:tc>
        <w:tc>
          <w:tcPr>
            <w:tcW w:w="1802" w:type="dxa"/>
          </w:tcPr>
          <w:p w14:paraId="24106C25" w14:textId="77777777" w:rsidR="00EC6269" w:rsidRPr="00BB0CDE" w:rsidRDefault="00EC6269" w:rsidP="00A75D1A">
            <w:pPr>
              <w:jc w:val="center"/>
              <w:rPr>
                <w:b/>
                <w:bCs/>
                <w:noProof/>
                <w:szCs w:val="18"/>
                <w:lang w:val="en-GB"/>
              </w:rPr>
            </w:pPr>
            <w:r w:rsidRPr="00BB0CDE">
              <w:rPr>
                <w:b/>
                <w:bCs/>
                <w:noProof/>
                <w:szCs w:val="18"/>
                <w:lang w:val="en-GB"/>
              </w:rPr>
              <w:t>20:80</w:t>
            </w:r>
          </w:p>
        </w:tc>
        <w:tc>
          <w:tcPr>
            <w:tcW w:w="992" w:type="dxa"/>
          </w:tcPr>
          <w:p w14:paraId="251188C8" w14:textId="77777777" w:rsidR="00EC6269" w:rsidRPr="00BB0CDE" w:rsidRDefault="00EC6269" w:rsidP="00A75D1A">
            <w:pPr>
              <w:jc w:val="center"/>
              <w:rPr>
                <w:b/>
                <w:bCs/>
                <w:noProof/>
                <w:szCs w:val="18"/>
                <w:lang w:val="en-GB"/>
              </w:rPr>
            </w:pPr>
            <w:r w:rsidRPr="00BB0CDE">
              <w:rPr>
                <w:b/>
                <w:bCs/>
                <w:noProof/>
                <w:szCs w:val="18"/>
                <w:lang w:val="en-GB"/>
              </w:rPr>
              <w:t xml:space="preserve">52.5 </w:t>
            </w:r>
            <w:r w:rsidRPr="00BB0CDE">
              <w:rPr>
                <w:rFonts w:cstheme="minorHAnsi"/>
                <w:b/>
                <w:bCs/>
                <w:noProof/>
                <w:szCs w:val="18"/>
                <w:lang w:val="en-GB"/>
              </w:rPr>
              <w:t>±0.8</w:t>
            </w:r>
          </w:p>
        </w:tc>
        <w:tc>
          <w:tcPr>
            <w:tcW w:w="1090" w:type="dxa"/>
          </w:tcPr>
          <w:p w14:paraId="2CB9231F" w14:textId="77777777" w:rsidR="00EC6269" w:rsidRPr="00BB0CDE" w:rsidRDefault="00EC6269" w:rsidP="00A75D1A">
            <w:pPr>
              <w:jc w:val="center"/>
              <w:rPr>
                <w:b/>
                <w:bCs/>
                <w:noProof/>
                <w:szCs w:val="18"/>
                <w:lang w:val="en-GB"/>
              </w:rPr>
            </w:pPr>
            <w:r w:rsidRPr="00BB0CDE">
              <w:rPr>
                <w:b/>
                <w:bCs/>
                <w:noProof/>
                <w:szCs w:val="18"/>
                <w:lang w:val="en-GB"/>
              </w:rPr>
              <w:t xml:space="preserve">1080 </w:t>
            </w:r>
            <w:r w:rsidRPr="00BB0CDE">
              <w:rPr>
                <w:rFonts w:cstheme="minorHAnsi"/>
                <w:b/>
                <w:bCs/>
                <w:noProof/>
                <w:szCs w:val="18"/>
                <w:lang w:val="en-GB"/>
              </w:rPr>
              <w:t>±53.0</w:t>
            </w:r>
          </w:p>
        </w:tc>
        <w:tc>
          <w:tcPr>
            <w:tcW w:w="1295" w:type="dxa"/>
          </w:tcPr>
          <w:p w14:paraId="55851428" w14:textId="77777777" w:rsidR="00EC6269" w:rsidRPr="00BB0CDE" w:rsidRDefault="00EC6269" w:rsidP="00A75D1A">
            <w:pPr>
              <w:jc w:val="center"/>
              <w:rPr>
                <w:b/>
                <w:bCs/>
                <w:noProof/>
                <w:szCs w:val="18"/>
                <w:lang w:val="en-GB"/>
              </w:rPr>
            </w:pPr>
            <w:r w:rsidRPr="00BB0CDE">
              <w:rPr>
                <w:b/>
                <w:bCs/>
                <w:noProof/>
                <w:szCs w:val="18"/>
                <w:lang w:val="en-GB"/>
              </w:rPr>
              <w:t xml:space="preserve">2.36 </w:t>
            </w:r>
            <w:r w:rsidRPr="00BB0CDE">
              <w:rPr>
                <w:rFonts w:cstheme="minorHAnsi"/>
                <w:b/>
                <w:bCs/>
                <w:noProof/>
                <w:szCs w:val="18"/>
                <w:lang w:val="en-GB"/>
              </w:rPr>
              <w:t>±0.05</w:t>
            </w:r>
          </w:p>
        </w:tc>
        <w:tc>
          <w:tcPr>
            <w:tcW w:w="1584" w:type="dxa"/>
          </w:tcPr>
          <w:p w14:paraId="6D632FB3" w14:textId="77777777" w:rsidR="00EC6269" w:rsidRPr="00BB0CDE" w:rsidRDefault="00EC6269" w:rsidP="00A75D1A">
            <w:pPr>
              <w:jc w:val="center"/>
              <w:rPr>
                <w:b/>
                <w:bCs/>
                <w:noProof/>
                <w:szCs w:val="18"/>
                <w:lang w:val="en-GB"/>
              </w:rPr>
            </w:pPr>
            <w:r w:rsidRPr="00BB0CDE">
              <w:rPr>
                <w:b/>
                <w:bCs/>
                <w:noProof/>
                <w:szCs w:val="18"/>
                <w:lang w:val="en-GB"/>
              </w:rPr>
              <w:t xml:space="preserve">1.819 </w:t>
            </w:r>
            <w:r w:rsidRPr="00BB0CDE">
              <w:rPr>
                <w:rFonts w:cstheme="minorHAnsi"/>
                <w:b/>
                <w:bCs/>
                <w:noProof/>
                <w:szCs w:val="18"/>
                <w:lang w:val="en-GB"/>
              </w:rPr>
              <w:t>±0.009</w:t>
            </w:r>
          </w:p>
        </w:tc>
      </w:tr>
      <w:tr w:rsidR="00EC6269" w14:paraId="3A34A9CB" w14:textId="77777777" w:rsidTr="00A75D1A">
        <w:tc>
          <w:tcPr>
            <w:tcW w:w="1129" w:type="dxa"/>
          </w:tcPr>
          <w:p w14:paraId="0D6FAE42" w14:textId="77777777" w:rsidR="00EC6269" w:rsidRPr="00BB0CDE" w:rsidRDefault="00EC6269" w:rsidP="00A75D1A">
            <w:pPr>
              <w:jc w:val="center"/>
              <w:rPr>
                <w:b/>
                <w:bCs/>
                <w:noProof/>
                <w:szCs w:val="18"/>
                <w:lang w:val="en-GB"/>
              </w:rPr>
            </w:pPr>
            <w:r w:rsidRPr="00BB0CDE">
              <w:rPr>
                <w:b/>
                <w:bCs/>
                <w:noProof/>
                <w:szCs w:val="18"/>
                <w:lang w:val="en-GB"/>
              </w:rPr>
              <w:t>BH100</w:t>
            </w:r>
          </w:p>
        </w:tc>
        <w:tc>
          <w:tcPr>
            <w:tcW w:w="1459" w:type="dxa"/>
          </w:tcPr>
          <w:p w14:paraId="107CD5C6" w14:textId="77777777" w:rsidR="00EC6269" w:rsidRPr="00BB0CDE" w:rsidRDefault="00EC6269" w:rsidP="00A75D1A">
            <w:pPr>
              <w:jc w:val="center"/>
              <w:rPr>
                <w:b/>
                <w:bCs/>
                <w:noProof/>
                <w:szCs w:val="18"/>
                <w:lang w:val="en-GB"/>
              </w:rPr>
            </w:pPr>
            <w:r w:rsidRPr="00BB0CDE">
              <w:rPr>
                <w:b/>
                <w:bCs/>
                <w:noProof/>
                <w:szCs w:val="18"/>
                <w:lang w:val="en-GB"/>
              </w:rPr>
              <w:t xml:space="preserve">103.0 </w:t>
            </w:r>
            <w:r w:rsidRPr="00BB0CDE">
              <w:rPr>
                <w:rFonts w:cstheme="minorHAnsi"/>
                <w:b/>
                <w:bCs/>
                <w:noProof/>
                <w:szCs w:val="18"/>
                <w:lang w:val="en-GB"/>
              </w:rPr>
              <w:t xml:space="preserve">± </w:t>
            </w:r>
            <w:r w:rsidRPr="00BB0CDE">
              <w:rPr>
                <w:b/>
                <w:bCs/>
                <w:noProof/>
                <w:szCs w:val="18"/>
                <w:lang w:val="en-GB"/>
              </w:rPr>
              <w:t>3.000</w:t>
            </w:r>
          </w:p>
        </w:tc>
        <w:tc>
          <w:tcPr>
            <w:tcW w:w="1802" w:type="dxa"/>
          </w:tcPr>
          <w:p w14:paraId="2021BE76" w14:textId="77777777" w:rsidR="00EC6269" w:rsidRPr="00BB0CDE" w:rsidRDefault="00EC6269" w:rsidP="00A75D1A">
            <w:pPr>
              <w:jc w:val="center"/>
              <w:rPr>
                <w:b/>
                <w:bCs/>
                <w:noProof/>
                <w:szCs w:val="18"/>
                <w:lang w:val="en-GB"/>
              </w:rPr>
            </w:pPr>
            <w:r w:rsidRPr="00BB0CDE">
              <w:rPr>
                <w:b/>
                <w:bCs/>
                <w:noProof/>
                <w:szCs w:val="18"/>
                <w:lang w:val="en-GB"/>
              </w:rPr>
              <w:t>100:0</w:t>
            </w:r>
            <w:r>
              <w:rPr>
                <w:b/>
                <w:bCs/>
                <w:noProof/>
                <w:szCs w:val="18"/>
                <w:lang w:val="en-GB"/>
              </w:rPr>
              <w:t>0</w:t>
            </w:r>
          </w:p>
        </w:tc>
        <w:tc>
          <w:tcPr>
            <w:tcW w:w="992" w:type="dxa"/>
          </w:tcPr>
          <w:p w14:paraId="49946AD1" w14:textId="77777777" w:rsidR="00EC6269" w:rsidRPr="00BB0CDE" w:rsidRDefault="00EC6269" w:rsidP="00A75D1A">
            <w:pPr>
              <w:jc w:val="center"/>
              <w:rPr>
                <w:b/>
                <w:bCs/>
                <w:noProof/>
                <w:szCs w:val="18"/>
                <w:lang w:val="en-GB"/>
              </w:rPr>
            </w:pPr>
            <w:r w:rsidRPr="00BB0CDE">
              <w:rPr>
                <w:b/>
                <w:bCs/>
                <w:noProof/>
                <w:szCs w:val="18"/>
                <w:lang w:val="en-GB"/>
              </w:rPr>
              <w:t xml:space="preserve">22.0 </w:t>
            </w:r>
            <w:r w:rsidRPr="00BB0CDE">
              <w:rPr>
                <w:rFonts w:cstheme="minorHAnsi"/>
                <w:b/>
                <w:bCs/>
                <w:noProof/>
                <w:szCs w:val="18"/>
                <w:lang w:val="en-GB"/>
              </w:rPr>
              <w:t>±5.0</w:t>
            </w:r>
          </w:p>
        </w:tc>
        <w:tc>
          <w:tcPr>
            <w:tcW w:w="1090" w:type="dxa"/>
          </w:tcPr>
          <w:p w14:paraId="5DD2A55F" w14:textId="77777777" w:rsidR="00EC6269" w:rsidRPr="00BB0CDE" w:rsidRDefault="00EC6269" w:rsidP="00A75D1A">
            <w:pPr>
              <w:jc w:val="center"/>
              <w:rPr>
                <w:b/>
                <w:bCs/>
                <w:noProof/>
                <w:szCs w:val="18"/>
                <w:lang w:val="en-GB"/>
              </w:rPr>
            </w:pPr>
            <w:r w:rsidRPr="00BB0CDE">
              <w:rPr>
                <w:b/>
                <w:bCs/>
                <w:noProof/>
                <w:szCs w:val="18"/>
                <w:lang w:val="en-GB"/>
              </w:rPr>
              <w:t xml:space="preserve">2222 </w:t>
            </w:r>
            <w:r w:rsidRPr="00BB0CDE">
              <w:rPr>
                <w:rFonts w:cstheme="minorHAnsi"/>
                <w:b/>
                <w:bCs/>
                <w:noProof/>
                <w:szCs w:val="18"/>
                <w:lang w:val="en-GB"/>
              </w:rPr>
              <w:t>±560</w:t>
            </w:r>
          </w:p>
        </w:tc>
        <w:tc>
          <w:tcPr>
            <w:tcW w:w="1295" w:type="dxa"/>
          </w:tcPr>
          <w:p w14:paraId="751F185B" w14:textId="77777777" w:rsidR="00EC6269" w:rsidRPr="00BB0CDE" w:rsidRDefault="00EC6269" w:rsidP="00A75D1A">
            <w:pPr>
              <w:jc w:val="center"/>
              <w:rPr>
                <w:b/>
                <w:bCs/>
                <w:noProof/>
                <w:szCs w:val="18"/>
                <w:lang w:val="en-GB"/>
              </w:rPr>
            </w:pPr>
            <w:r w:rsidRPr="00BB0CDE">
              <w:rPr>
                <w:b/>
                <w:bCs/>
                <w:noProof/>
                <w:szCs w:val="18"/>
                <w:lang w:val="en-GB"/>
              </w:rPr>
              <w:t xml:space="preserve">2.60 </w:t>
            </w:r>
            <w:r w:rsidRPr="00BB0CDE">
              <w:rPr>
                <w:rFonts w:cstheme="minorHAnsi"/>
                <w:b/>
                <w:bCs/>
                <w:noProof/>
                <w:szCs w:val="18"/>
                <w:lang w:val="en-GB"/>
              </w:rPr>
              <w:t>±0.10</w:t>
            </w:r>
          </w:p>
        </w:tc>
        <w:tc>
          <w:tcPr>
            <w:tcW w:w="1584" w:type="dxa"/>
          </w:tcPr>
          <w:p w14:paraId="44F65C03" w14:textId="77777777" w:rsidR="00EC6269" w:rsidRPr="00BB0CDE" w:rsidRDefault="00EC6269" w:rsidP="00A75D1A">
            <w:pPr>
              <w:jc w:val="center"/>
              <w:rPr>
                <w:b/>
                <w:bCs/>
                <w:noProof/>
                <w:szCs w:val="18"/>
                <w:lang w:val="en-GB"/>
              </w:rPr>
            </w:pPr>
            <w:r w:rsidRPr="00BB0CDE">
              <w:rPr>
                <w:b/>
                <w:bCs/>
                <w:noProof/>
                <w:szCs w:val="18"/>
                <w:lang w:val="en-GB"/>
              </w:rPr>
              <w:t xml:space="preserve">2.100 </w:t>
            </w:r>
            <w:r w:rsidRPr="00BB0CDE">
              <w:rPr>
                <w:rFonts w:cstheme="minorHAnsi"/>
                <w:b/>
                <w:bCs/>
                <w:noProof/>
                <w:szCs w:val="18"/>
                <w:lang w:val="en-GB"/>
              </w:rPr>
              <w:t>±0.070</w:t>
            </w:r>
          </w:p>
        </w:tc>
      </w:tr>
    </w:tbl>
    <w:p w14:paraId="1162AE43" w14:textId="77777777" w:rsidR="00EC6269" w:rsidRDefault="00EC6269" w:rsidP="00EC6269"/>
    <w:p w14:paraId="11C3E7D5" w14:textId="77777777" w:rsidR="00EC6269" w:rsidRPr="002643FE" w:rsidRDefault="00EC6269" w:rsidP="00EC6269">
      <w:pPr>
        <w:rPr>
          <w:sz w:val="20"/>
          <w:szCs w:val="22"/>
        </w:rPr>
      </w:pPr>
      <w:r w:rsidRPr="002643FE">
        <w:rPr>
          <w:sz w:val="20"/>
          <w:szCs w:val="22"/>
        </w:rPr>
        <w:t>According to FDA and EMA guidelines, similarity factor (</w:t>
      </w:r>
      <w:r w:rsidRPr="002643FE">
        <w:rPr>
          <w:i/>
          <w:iCs/>
          <w:sz w:val="20"/>
          <w:szCs w:val="22"/>
        </w:rPr>
        <w:t>f</w:t>
      </w:r>
      <w:r w:rsidRPr="002643FE">
        <w:rPr>
          <w:sz w:val="20"/>
          <w:szCs w:val="22"/>
        </w:rPr>
        <w:t>2) and difference factor (</w:t>
      </w:r>
      <w:r w:rsidRPr="002643FE">
        <w:rPr>
          <w:i/>
          <w:iCs/>
          <w:sz w:val="20"/>
          <w:szCs w:val="22"/>
        </w:rPr>
        <w:t>f</w:t>
      </w:r>
      <w:r w:rsidRPr="002643FE">
        <w:rPr>
          <w:sz w:val="20"/>
          <w:szCs w:val="22"/>
        </w:rPr>
        <w:t xml:space="preserve">1) including all three formulations  indicates that the dissolution profiles are non-similar and display distinct release profiles from each other (data not shown). Both factors are expressed in percentage and used to assess the global similarity or dissimilarity of dissolution curves (e.g.: </w:t>
      </w:r>
      <w:r w:rsidRPr="002643FE">
        <w:rPr>
          <w:i/>
          <w:iCs/>
          <w:sz w:val="20"/>
          <w:szCs w:val="22"/>
        </w:rPr>
        <w:t>f</w:t>
      </w:r>
      <w:r w:rsidRPr="002643FE">
        <w:rPr>
          <w:sz w:val="20"/>
          <w:szCs w:val="22"/>
        </w:rPr>
        <w:t xml:space="preserve">1 value of 0 corresponds to identical dissolution profile) [10]. 90% of BUD was released within 35 min from BH100 (micronized BUD only) whereas similar BUD releases from BUD-HCO formulations were extended to 4 hours and 24 hours, respectively for BH20.5 and BH5.5. </w:t>
      </w:r>
    </w:p>
    <w:p w14:paraId="23A17F4B" w14:textId="77777777" w:rsidR="00EC6269" w:rsidRPr="002643FE" w:rsidRDefault="00EC6269" w:rsidP="00EC6269">
      <w:pPr>
        <w:rPr>
          <w:sz w:val="20"/>
          <w:szCs w:val="22"/>
        </w:rPr>
      </w:pPr>
      <w:r w:rsidRPr="002643FE">
        <w:rPr>
          <w:sz w:val="20"/>
          <w:szCs w:val="22"/>
        </w:rPr>
        <w:t xml:space="preserve">The lipid matrix based on HCO and TPGS appears to be responsible for the extended drug release. With higher proportion of HCO, the release of BUD content is successfully slowed down within a 24-hour window.  </w:t>
      </w:r>
    </w:p>
    <w:p w14:paraId="059D1A78" w14:textId="77777777" w:rsidR="00EC6269" w:rsidRDefault="00EC6269" w:rsidP="00EC6269">
      <w:r w:rsidRPr="00161357">
        <w:rPr>
          <w:noProof/>
        </w:rPr>
        <w:drawing>
          <wp:inline distT="0" distB="0" distL="0" distR="0" wp14:anchorId="1E62FF55" wp14:editId="559E1500">
            <wp:extent cx="4413250" cy="2299056"/>
            <wp:effectExtent l="0" t="0" r="6350" b="6350"/>
            <wp:docPr id="1434009949" name="Image 1" descr="Une image contenant texte, ligne, diagramm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09949" name="Image 1" descr="Une image contenant texte, ligne, diagramme, capture d’écran&#10;&#10;Description générée automatiquement"/>
                    <pic:cNvPicPr/>
                  </pic:nvPicPr>
                  <pic:blipFill>
                    <a:blip r:embed="rId12"/>
                    <a:stretch>
                      <a:fillRect/>
                    </a:stretch>
                  </pic:blipFill>
                  <pic:spPr>
                    <a:xfrm>
                      <a:off x="0" y="0"/>
                      <a:ext cx="4431763" cy="2308700"/>
                    </a:xfrm>
                    <a:prstGeom prst="rect">
                      <a:avLst/>
                    </a:prstGeom>
                  </pic:spPr>
                </pic:pic>
              </a:graphicData>
            </a:graphic>
          </wp:inline>
        </w:drawing>
      </w:r>
    </w:p>
    <w:p w14:paraId="70823DB7" w14:textId="4F868652" w:rsidR="003C0C23" w:rsidRPr="002643FE" w:rsidRDefault="00EC6269" w:rsidP="00EC6269">
      <w:pPr>
        <w:rPr>
          <w:sz w:val="20"/>
        </w:rPr>
      </w:pPr>
      <w:r w:rsidRPr="002643FE">
        <w:rPr>
          <w:sz w:val="20"/>
          <w:u w:val="single"/>
        </w:rPr>
        <w:t>Figure 1:</w:t>
      </w:r>
      <w:r w:rsidRPr="002643FE">
        <w:rPr>
          <w:sz w:val="20"/>
        </w:rPr>
        <w:t xml:space="preserve"> Release profiles of budesonide (BUD) from inhalable fraction of the dry powder for inhalation formulations (BH5.5 and BH20.5) and raw micronized Budesonide (BUD) (BH100) determined from an equivalent mass of 1.5 mg of budesonide deposited on a membrane filter using a low resistance RS01 device and the FSI operated at 100 </w:t>
      </w:r>
      <w:r w:rsidRPr="002643FE">
        <w:rPr>
          <w:rFonts w:cstheme="minorHAnsi"/>
          <w:sz w:val="20"/>
        </w:rPr>
        <w:t>±</w:t>
      </w:r>
      <w:r w:rsidRPr="002643FE">
        <w:rPr>
          <w:sz w:val="20"/>
        </w:rPr>
        <w:t xml:space="preserve"> 5 L/min for 2.4s (n = 3, mean </w:t>
      </w:r>
      <w:r w:rsidRPr="002643FE">
        <w:rPr>
          <w:rFonts w:cstheme="minorHAnsi"/>
          <w:sz w:val="20"/>
        </w:rPr>
        <w:t>±</w:t>
      </w:r>
      <w:proofErr w:type="spellStart"/>
      <w:r w:rsidRPr="002643FE">
        <w:rPr>
          <w:sz w:val="20"/>
        </w:rPr>
        <w:t>s.d.</w:t>
      </w:r>
      <w:proofErr w:type="spellEnd"/>
      <w:r w:rsidRPr="002643FE">
        <w:rPr>
          <w:sz w:val="20"/>
        </w:rPr>
        <w:t>).</w:t>
      </w:r>
    </w:p>
    <w:p w14:paraId="4E80D849" w14:textId="77777777" w:rsidR="00EC6269" w:rsidRPr="00B17E7D" w:rsidRDefault="00EC6269" w:rsidP="00EC6269">
      <w:pPr>
        <w:rPr>
          <w:b/>
          <w:bCs/>
        </w:rPr>
      </w:pPr>
      <w:r w:rsidRPr="00B17E7D">
        <w:rPr>
          <w:b/>
          <w:bCs/>
        </w:rPr>
        <w:lastRenderedPageBreak/>
        <w:t>Conclusion</w:t>
      </w:r>
      <w:r>
        <w:rPr>
          <w:b/>
          <w:bCs/>
        </w:rPr>
        <w:t xml:space="preserve"> and Discussion</w:t>
      </w:r>
    </w:p>
    <w:p w14:paraId="3FF6588A" w14:textId="77777777" w:rsidR="00EC6269" w:rsidRPr="002643FE" w:rsidRDefault="00EC6269" w:rsidP="00EC6269">
      <w:pPr>
        <w:rPr>
          <w:sz w:val="20"/>
          <w:szCs w:val="22"/>
        </w:rPr>
      </w:pPr>
      <w:r w:rsidRPr="002643FE">
        <w:rPr>
          <w:sz w:val="20"/>
          <w:szCs w:val="22"/>
        </w:rPr>
        <w:t xml:space="preserve">The lipid matrix has an impact on both increase of FPF after inhalation and extended drug release. Both BUD spray-dried formulations showed optimal aerodynamic properties with more than 50% of the microparticles deposited in the respiratory zone and with distinct BUD release profiles over 24 hours that decreased by increasing the content of the HCO. Although the results are promising, a pharmacokinetics study is needed to evaluate and confirm the therapeutic effects with an </w:t>
      </w:r>
      <w:r w:rsidRPr="002643FE">
        <w:rPr>
          <w:i/>
          <w:iCs/>
          <w:sz w:val="20"/>
          <w:szCs w:val="22"/>
        </w:rPr>
        <w:t>in vivo</w:t>
      </w:r>
      <w:r w:rsidRPr="002643FE">
        <w:rPr>
          <w:sz w:val="20"/>
          <w:szCs w:val="22"/>
        </w:rPr>
        <w:t xml:space="preserve"> model for asthma and COPD. </w:t>
      </w:r>
    </w:p>
    <w:p w14:paraId="57DCC0FB" w14:textId="77777777" w:rsidR="007D307A" w:rsidRPr="00BD68AD" w:rsidRDefault="007D307A" w:rsidP="00D156FE">
      <w:pPr>
        <w:pStyle w:val="DDLHeading1"/>
      </w:pPr>
      <w:r w:rsidRPr="00BD68AD">
        <w:t>References</w:t>
      </w:r>
    </w:p>
    <w:p w14:paraId="26B0273C" w14:textId="39485732" w:rsidR="00EC6269" w:rsidRPr="00851D01" w:rsidRDefault="00EC6269" w:rsidP="00EC6269">
      <w:pPr>
        <w:rPr>
          <w:rFonts w:cstheme="minorHAnsi"/>
          <w:sz w:val="16"/>
          <w:szCs w:val="16"/>
          <w:lang w:eastAsia="fr-BE"/>
        </w:rPr>
      </w:pPr>
      <w:r>
        <w:rPr>
          <w:rFonts w:cstheme="minorHAnsi"/>
          <w:sz w:val="16"/>
          <w:szCs w:val="16"/>
        </w:rPr>
        <w:t>[</w:t>
      </w:r>
      <w:r w:rsidRPr="00851D01">
        <w:rPr>
          <w:rFonts w:cstheme="minorHAnsi"/>
          <w:sz w:val="16"/>
          <w:szCs w:val="16"/>
        </w:rPr>
        <w:t xml:space="preserve">1] </w:t>
      </w:r>
      <w:r w:rsidRPr="00851D01">
        <w:rPr>
          <w:rFonts w:cstheme="minorHAnsi"/>
          <w:sz w:val="16"/>
          <w:szCs w:val="16"/>
          <w:lang w:eastAsia="fr-BE"/>
        </w:rPr>
        <w:t xml:space="preserve">Kemp, J. F. ! (2003). </w:t>
      </w:r>
      <w:r w:rsidRPr="00851D01">
        <w:rPr>
          <w:rFonts w:cstheme="minorHAnsi"/>
          <w:i/>
          <w:iCs/>
          <w:sz w:val="16"/>
          <w:szCs w:val="16"/>
          <w:lang w:eastAsia="fr-BE"/>
        </w:rPr>
        <w:t>Expected Characteristics of an Ideal, All-Purpose Inhaled Corticosteroid for the Treatment of Asthma</w:t>
      </w:r>
      <w:r w:rsidRPr="00851D01">
        <w:rPr>
          <w:rFonts w:cstheme="minorHAnsi"/>
          <w:sz w:val="16"/>
          <w:szCs w:val="16"/>
          <w:lang w:eastAsia="fr-BE"/>
        </w:rPr>
        <w:t>.</w:t>
      </w:r>
    </w:p>
    <w:p w14:paraId="4EDDE6D6" w14:textId="77777777" w:rsidR="00EC6269" w:rsidRDefault="00EC6269" w:rsidP="00EC6269">
      <w:pPr>
        <w:rPr>
          <w:rFonts w:cstheme="minorHAnsi"/>
          <w:sz w:val="16"/>
          <w:szCs w:val="16"/>
          <w:lang w:val="en-US" w:eastAsia="fr-BE"/>
        </w:rPr>
      </w:pPr>
      <w:r w:rsidRPr="00851D01">
        <w:rPr>
          <w:rFonts w:cstheme="minorHAnsi"/>
          <w:sz w:val="16"/>
          <w:szCs w:val="16"/>
          <w:lang w:eastAsia="fr-BE"/>
        </w:rPr>
        <w:t>[2]</w:t>
      </w:r>
      <w:r w:rsidRPr="00851D01">
        <w:rPr>
          <w:rFonts w:cstheme="minorHAnsi"/>
          <w:sz w:val="16"/>
          <w:szCs w:val="16"/>
          <w:lang w:val="en-US" w:eastAsia="fr-BE"/>
        </w:rPr>
        <w:t xml:space="preserve"> The Global Asthma Report 2022. (2022). </w:t>
      </w:r>
      <w:r w:rsidRPr="00851D01">
        <w:rPr>
          <w:rFonts w:cstheme="minorHAnsi"/>
          <w:i/>
          <w:iCs/>
          <w:sz w:val="16"/>
          <w:szCs w:val="16"/>
          <w:lang w:val="en-US" w:eastAsia="fr-BE"/>
        </w:rPr>
        <w:t xml:space="preserve">The International Journal of Tuberculosis and Lung </w:t>
      </w:r>
      <w:proofErr w:type="gramStart"/>
      <w:r w:rsidRPr="00851D01">
        <w:rPr>
          <w:rFonts w:cstheme="minorHAnsi"/>
          <w:i/>
          <w:iCs/>
          <w:sz w:val="16"/>
          <w:szCs w:val="16"/>
          <w:lang w:val="en-US" w:eastAsia="fr-BE"/>
        </w:rPr>
        <w:t>Disease :</w:t>
      </w:r>
      <w:proofErr w:type="gramEnd"/>
      <w:r w:rsidRPr="00851D01">
        <w:rPr>
          <w:rFonts w:cstheme="minorHAnsi"/>
          <w:i/>
          <w:iCs/>
          <w:sz w:val="16"/>
          <w:szCs w:val="16"/>
          <w:lang w:val="en-US" w:eastAsia="fr-BE"/>
        </w:rPr>
        <w:t xml:space="preserve"> The Official Journal of the International Union against Tuberculosis and Lung Disease</w:t>
      </w:r>
      <w:r w:rsidRPr="00851D01">
        <w:rPr>
          <w:rFonts w:cstheme="minorHAnsi"/>
          <w:sz w:val="16"/>
          <w:szCs w:val="16"/>
          <w:lang w:val="en-US" w:eastAsia="fr-BE"/>
        </w:rPr>
        <w:t xml:space="preserve">, </w:t>
      </w:r>
      <w:r w:rsidRPr="00851D01">
        <w:rPr>
          <w:rFonts w:cstheme="minorHAnsi"/>
          <w:i/>
          <w:iCs/>
          <w:sz w:val="16"/>
          <w:szCs w:val="16"/>
          <w:lang w:val="en-US" w:eastAsia="fr-BE"/>
        </w:rPr>
        <w:t>26</w:t>
      </w:r>
      <w:r w:rsidRPr="00851D01">
        <w:rPr>
          <w:rFonts w:cstheme="minorHAnsi"/>
          <w:sz w:val="16"/>
          <w:szCs w:val="16"/>
          <w:lang w:val="en-US" w:eastAsia="fr-BE"/>
        </w:rPr>
        <w:t xml:space="preserve">(1), 1–104. </w:t>
      </w:r>
    </w:p>
    <w:p w14:paraId="31ED88DE" w14:textId="77777777" w:rsidR="00EC6269" w:rsidRPr="00A96704" w:rsidRDefault="00EC6269" w:rsidP="00EC6269">
      <w:pPr>
        <w:rPr>
          <w:rFonts w:cstheme="minorHAnsi"/>
          <w:sz w:val="16"/>
          <w:szCs w:val="16"/>
          <w:lang w:val="en-US"/>
        </w:rPr>
      </w:pPr>
      <w:r w:rsidRPr="00A96704">
        <w:rPr>
          <w:rFonts w:cstheme="minorHAnsi"/>
          <w:sz w:val="16"/>
          <w:szCs w:val="16"/>
          <w:lang w:val="en-US" w:eastAsia="fr-BE"/>
        </w:rPr>
        <w:t>[3]</w:t>
      </w:r>
      <w:r w:rsidRPr="00A96704">
        <w:rPr>
          <w:rFonts w:cstheme="minorHAnsi"/>
          <w:sz w:val="16"/>
          <w:szCs w:val="16"/>
          <w:lang w:val="en-US"/>
        </w:rPr>
        <w:t xml:space="preserve"> GOLD Report (2022)</w:t>
      </w:r>
    </w:p>
    <w:p w14:paraId="00A8806C" w14:textId="77777777" w:rsidR="00EC6269" w:rsidRPr="001B2BC5" w:rsidRDefault="00EC6269" w:rsidP="00EC6269">
      <w:pPr>
        <w:rPr>
          <w:rFonts w:cstheme="minorHAnsi"/>
          <w:sz w:val="16"/>
          <w:szCs w:val="16"/>
        </w:rPr>
      </w:pPr>
      <w:r w:rsidRPr="00A96704">
        <w:rPr>
          <w:rFonts w:cstheme="minorHAnsi"/>
          <w:sz w:val="16"/>
          <w:szCs w:val="16"/>
        </w:rPr>
        <w:t xml:space="preserve">[4] Kocks J W H, </w:t>
      </w:r>
      <w:proofErr w:type="spellStart"/>
      <w:r w:rsidRPr="00A96704">
        <w:rPr>
          <w:rFonts w:cstheme="minorHAnsi"/>
          <w:sz w:val="16"/>
          <w:szCs w:val="16"/>
        </w:rPr>
        <w:t>Chrystyn</w:t>
      </w:r>
      <w:proofErr w:type="spellEnd"/>
      <w:r w:rsidRPr="00A96704">
        <w:rPr>
          <w:rFonts w:cstheme="minorHAnsi"/>
          <w:sz w:val="16"/>
          <w:szCs w:val="16"/>
        </w:rPr>
        <w:t xml:space="preserve"> H, van der Palen J, Thomas M, Yates L, Landis S H, Driessen M T, Gokhale M, Sharma R, </w:t>
      </w:r>
      <w:proofErr w:type="spellStart"/>
      <w:r w:rsidRPr="00A96704">
        <w:rPr>
          <w:rFonts w:cstheme="minorHAnsi"/>
          <w:sz w:val="16"/>
          <w:szCs w:val="16"/>
        </w:rPr>
        <w:t>Molimard</w:t>
      </w:r>
      <w:proofErr w:type="spellEnd"/>
      <w:r w:rsidRPr="00A96704">
        <w:rPr>
          <w:rFonts w:cstheme="minorHAnsi"/>
          <w:sz w:val="16"/>
          <w:szCs w:val="16"/>
        </w:rPr>
        <w:t xml:space="preserve"> M: Systematic review of association between critical errors in inhalation and health outcomes in asthma and COPD, </w:t>
      </w:r>
      <w:proofErr w:type="spellStart"/>
      <w:r w:rsidRPr="00A96704">
        <w:rPr>
          <w:rFonts w:cstheme="minorHAnsi"/>
          <w:sz w:val="16"/>
          <w:szCs w:val="16"/>
        </w:rPr>
        <w:t>npj</w:t>
      </w:r>
      <w:proofErr w:type="spellEnd"/>
      <w:r w:rsidRPr="00A96704">
        <w:rPr>
          <w:rFonts w:cstheme="minorHAnsi"/>
          <w:sz w:val="16"/>
          <w:szCs w:val="16"/>
        </w:rPr>
        <w:t xml:space="preserve"> Prim Care Respir Med, 2018, vol 28, no 1, pp 1–</w:t>
      </w:r>
      <w:proofErr w:type="gramStart"/>
      <w:r w:rsidRPr="00A96704">
        <w:rPr>
          <w:rFonts w:cstheme="minorHAnsi"/>
          <w:sz w:val="16"/>
          <w:szCs w:val="16"/>
        </w:rPr>
        <w:t>6</w:t>
      </w:r>
      <w:proofErr w:type="gramEnd"/>
    </w:p>
    <w:p w14:paraId="5B53658E" w14:textId="77777777" w:rsidR="00EC6269" w:rsidRPr="00851D01" w:rsidRDefault="00EC6269" w:rsidP="00EC6269">
      <w:pPr>
        <w:pStyle w:val="FootnoteText"/>
        <w:rPr>
          <w:rFonts w:asciiTheme="minorHAnsi" w:hAnsiTheme="minorHAnsi" w:cstheme="minorHAnsi"/>
          <w:sz w:val="16"/>
          <w:szCs w:val="16"/>
          <w:lang w:val="en-GB"/>
        </w:rPr>
      </w:pPr>
      <w:r w:rsidRPr="00851D01">
        <w:rPr>
          <w:rFonts w:asciiTheme="minorHAnsi" w:hAnsiTheme="minorHAnsi" w:cstheme="minorHAnsi"/>
          <w:sz w:val="16"/>
          <w:szCs w:val="16"/>
          <w:lang w:val="es-ES"/>
        </w:rPr>
        <w:t xml:space="preserve">[5] </w:t>
      </w:r>
      <w:proofErr w:type="spellStart"/>
      <w:r w:rsidRPr="00851D01">
        <w:rPr>
          <w:rFonts w:asciiTheme="minorHAnsi" w:hAnsiTheme="minorHAnsi" w:cstheme="minorHAnsi"/>
          <w:sz w:val="16"/>
          <w:szCs w:val="16"/>
          <w:lang w:val="es-ES"/>
        </w:rPr>
        <w:t>Chaurasiya</w:t>
      </w:r>
      <w:proofErr w:type="spellEnd"/>
      <w:r w:rsidRPr="00851D01">
        <w:rPr>
          <w:rFonts w:asciiTheme="minorHAnsi" w:hAnsiTheme="minorHAnsi" w:cstheme="minorHAnsi"/>
          <w:sz w:val="16"/>
          <w:szCs w:val="16"/>
          <w:lang w:val="es-ES"/>
        </w:rPr>
        <w:t xml:space="preserve">, B., &amp; Zhao, Y. Y. (2021). </w:t>
      </w:r>
      <w:r w:rsidRPr="00851D01">
        <w:rPr>
          <w:rFonts w:asciiTheme="minorHAnsi" w:hAnsiTheme="minorHAnsi" w:cstheme="minorHAnsi"/>
          <w:sz w:val="16"/>
          <w:szCs w:val="16"/>
          <w:lang w:val="en-GB"/>
        </w:rPr>
        <w:t xml:space="preserve">Dry powder for pulmonary delivery: A comprehensive review. In </w:t>
      </w:r>
      <w:r w:rsidRPr="00851D01">
        <w:rPr>
          <w:rFonts w:asciiTheme="minorHAnsi" w:hAnsiTheme="minorHAnsi" w:cstheme="minorHAnsi"/>
          <w:i/>
          <w:iCs/>
          <w:sz w:val="16"/>
          <w:szCs w:val="16"/>
          <w:lang w:val="en-GB"/>
        </w:rPr>
        <w:t>Pharmaceutics</w:t>
      </w:r>
      <w:r w:rsidRPr="00851D01">
        <w:rPr>
          <w:rFonts w:asciiTheme="minorHAnsi" w:hAnsiTheme="minorHAnsi" w:cstheme="minorHAnsi"/>
          <w:sz w:val="16"/>
          <w:szCs w:val="16"/>
          <w:lang w:val="en-GB"/>
        </w:rPr>
        <w:t xml:space="preserve"> (Vol. 13, Issue 1, pp. 1–28). MDPI AG. </w:t>
      </w:r>
    </w:p>
    <w:p w14:paraId="296BECE1" w14:textId="77777777" w:rsidR="00EC6269" w:rsidRPr="00851D01" w:rsidRDefault="00EC6269" w:rsidP="00EC6269">
      <w:pPr>
        <w:pStyle w:val="FootnoteText"/>
        <w:rPr>
          <w:rFonts w:asciiTheme="minorHAnsi" w:hAnsiTheme="minorHAnsi" w:cstheme="minorHAnsi"/>
          <w:sz w:val="16"/>
          <w:szCs w:val="16"/>
          <w:lang w:val="en-GB"/>
        </w:rPr>
      </w:pPr>
    </w:p>
    <w:p w14:paraId="2C6B2F15" w14:textId="77777777" w:rsidR="00EC6269" w:rsidRPr="00851D01" w:rsidRDefault="00EC6269" w:rsidP="00EC6269">
      <w:pPr>
        <w:rPr>
          <w:rFonts w:cstheme="minorHAnsi"/>
          <w:sz w:val="16"/>
          <w:szCs w:val="16"/>
          <w:lang w:eastAsia="fr-BE"/>
        </w:rPr>
      </w:pPr>
      <w:r w:rsidRPr="00851D01">
        <w:rPr>
          <w:rFonts w:cstheme="minorHAnsi"/>
          <w:sz w:val="16"/>
          <w:szCs w:val="16"/>
        </w:rPr>
        <w:t xml:space="preserve">[6] </w:t>
      </w:r>
      <w:r w:rsidRPr="00851D01">
        <w:rPr>
          <w:rFonts w:cstheme="minorHAnsi"/>
          <w:sz w:val="16"/>
          <w:szCs w:val="16"/>
          <w:lang w:eastAsia="fr-BE"/>
        </w:rPr>
        <w:t xml:space="preserve">Liang, W., Pan, H. W., </w:t>
      </w:r>
      <w:proofErr w:type="spellStart"/>
      <w:r w:rsidRPr="00851D01">
        <w:rPr>
          <w:rFonts w:cstheme="minorHAnsi"/>
          <w:sz w:val="16"/>
          <w:szCs w:val="16"/>
          <w:lang w:eastAsia="fr-BE"/>
        </w:rPr>
        <w:t>Vllasaliu</w:t>
      </w:r>
      <w:proofErr w:type="spellEnd"/>
      <w:r w:rsidRPr="00851D01">
        <w:rPr>
          <w:rFonts w:cstheme="minorHAnsi"/>
          <w:sz w:val="16"/>
          <w:szCs w:val="16"/>
          <w:lang w:eastAsia="fr-BE"/>
        </w:rPr>
        <w:t xml:space="preserve">, D., &amp; Lam, J. K. W. (2020). Pulmonary delivery of biological drugs. In </w:t>
      </w:r>
      <w:r w:rsidRPr="00851D01">
        <w:rPr>
          <w:rFonts w:cstheme="minorHAnsi"/>
          <w:i/>
          <w:iCs/>
          <w:sz w:val="16"/>
          <w:szCs w:val="16"/>
          <w:lang w:eastAsia="fr-BE"/>
        </w:rPr>
        <w:t>Pharmaceutics</w:t>
      </w:r>
      <w:r w:rsidRPr="00851D01">
        <w:rPr>
          <w:rFonts w:cstheme="minorHAnsi"/>
          <w:sz w:val="16"/>
          <w:szCs w:val="16"/>
          <w:lang w:eastAsia="fr-BE"/>
        </w:rPr>
        <w:t xml:space="preserve"> (Vol. 12, Issue 11, pp. 1–28). MDPI AG. </w:t>
      </w:r>
    </w:p>
    <w:p w14:paraId="26FA0D13" w14:textId="77777777" w:rsidR="00EC6269" w:rsidRPr="00851D01" w:rsidRDefault="00EC6269" w:rsidP="00EC6269">
      <w:pPr>
        <w:rPr>
          <w:rFonts w:cstheme="minorHAnsi"/>
          <w:sz w:val="16"/>
          <w:szCs w:val="16"/>
          <w:lang w:eastAsia="fr-BE"/>
        </w:rPr>
      </w:pPr>
      <w:r w:rsidRPr="00851D01">
        <w:rPr>
          <w:rFonts w:cstheme="minorHAnsi"/>
          <w:sz w:val="16"/>
          <w:szCs w:val="16"/>
          <w:lang w:eastAsia="fr-BE"/>
        </w:rPr>
        <w:t xml:space="preserve">[7] </w:t>
      </w:r>
      <w:proofErr w:type="spellStart"/>
      <w:r w:rsidRPr="00851D01">
        <w:rPr>
          <w:rFonts w:cstheme="minorHAnsi"/>
          <w:sz w:val="16"/>
          <w:szCs w:val="16"/>
          <w:lang w:eastAsia="fr-BE"/>
        </w:rPr>
        <w:t>Labiris</w:t>
      </w:r>
      <w:proofErr w:type="spellEnd"/>
      <w:r w:rsidRPr="00851D01">
        <w:rPr>
          <w:rFonts w:cstheme="minorHAnsi"/>
          <w:sz w:val="16"/>
          <w:szCs w:val="16"/>
          <w:lang w:eastAsia="fr-BE"/>
        </w:rPr>
        <w:t xml:space="preserve">, N. R., &amp; Dolovich, M. B. (2003). Pulmonary drug delivery. Part II: The role of inhalant delivery devices and drug formulations in therapeutic effectiveness of aerosolized medications. In </w:t>
      </w:r>
      <w:r w:rsidRPr="00851D01">
        <w:rPr>
          <w:rFonts w:cstheme="minorHAnsi"/>
          <w:i/>
          <w:iCs/>
          <w:sz w:val="16"/>
          <w:szCs w:val="16"/>
          <w:lang w:eastAsia="fr-BE"/>
        </w:rPr>
        <w:t>British Journal of Clinical Pharmacology</w:t>
      </w:r>
      <w:r w:rsidRPr="00851D01">
        <w:rPr>
          <w:rFonts w:cstheme="minorHAnsi"/>
          <w:sz w:val="16"/>
          <w:szCs w:val="16"/>
          <w:lang w:eastAsia="fr-BE"/>
        </w:rPr>
        <w:t xml:space="preserve"> (Vol. 56, Issue 6, pp. 600–612). </w:t>
      </w:r>
    </w:p>
    <w:p w14:paraId="61D46093" w14:textId="77777777" w:rsidR="00EC6269" w:rsidRPr="00851D01" w:rsidRDefault="00EC6269" w:rsidP="00EC6269">
      <w:pPr>
        <w:rPr>
          <w:rFonts w:cstheme="minorHAnsi"/>
          <w:sz w:val="16"/>
          <w:szCs w:val="16"/>
          <w:lang w:eastAsia="fr-BE"/>
        </w:rPr>
      </w:pPr>
      <w:r w:rsidRPr="00851D01">
        <w:rPr>
          <w:rFonts w:cstheme="minorHAnsi"/>
          <w:sz w:val="16"/>
          <w:szCs w:val="16"/>
          <w:lang w:eastAsia="fr-BE"/>
        </w:rPr>
        <w:t xml:space="preserve">[8] Martin J. </w:t>
      </w:r>
      <w:proofErr w:type="spellStart"/>
      <w:r w:rsidRPr="00851D01">
        <w:rPr>
          <w:rFonts w:cstheme="minorHAnsi"/>
          <w:sz w:val="16"/>
          <w:szCs w:val="16"/>
          <w:lang w:eastAsia="fr-BE"/>
        </w:rPr>
        <w:t>Telko</w:t>
      </w:r>
      <w:proofErr w:type="spellEnd"/>
      <w:r w:rsidRPr="00851D01">
        <w:rPr>
          <w:rFonts w:cstheme="minorHAnsi"/>
          <w:sz w:val="16"/>
          <w:szCs w:val="16"/>
          <w:lang w:eastAsia="fr-BE"/>
        </w:rPr>
        <w:t>., Anthony J Hickey (2005). Dry powder inhaler formulation. In Respiratory Care (Vol. 50, No 9, September 2005).</w:t>
      </w:r>
    </w:p>
    <w:p w14:paraId="2B89DCF7" w14:textId="77777777" w:rsidR="00EC6269" w:rsidRPr="00851D01" w:rsidRDefault="00EC6269" w:rsidP="00EC6269">
      <w:pPr>
        <w:rPr>
          <w:rFonts w:cstheme="minorHAnsi"/>
          <w:sz w:val="16"/>
          <w:szCs w:val="16"/>
          <w:lang w:eastAsia="fr-BE"/>
        </w:rPr>
      </w:pPr>
      <w:r w:rsidRPr="00851D01">
        <w:rPr>
          <w:rFonts w:cstheme="minorHAnsi"/>
          <w:color w:val="212121"/>
          <w:sz w:val="16"/>
          <w:szCs w:val="16"/>
          <w:shd w:val="clear" w:color="auto" w:fill="FFFFFF"/>
        </w:rPr>
        <w:t xml:space="preserve">[9] </w:t>
      </w:r>
      <w:proofErr w:type="spellStart"/>
      <w:r w:rsidRPr="00851D01">
        <w:rPr>
          <w:rFonts w:cstheme="minorHAnsi"/>
          <w:color w:val="212121"/>
          <w:sz w:val="16"/>
          <w:szCs w:val="16"/>
          <w:shd w:val="clear" w:color="auto" w:fill="FFFFFF"/>
        </w:rPr>
        <w:t>Ciciliani</w:t>
      </w:r>
      <w:proofErr w:type="spellEnd"/>
      <w:r w:rsidRPr="00851D01">
        <w:rPr>
          <w:rFonts w:cstheme="minorHAnsi"/>
          <w:color w:val="212121"/>
          <w:sz w:val="16"/>
          <w:szCs w:val="16"/>
          <w:shd w:val="clear" w:color="auto" w:fill="FFFFFF"/>
        </w:rPr>
        <w:t xml:space="preserve"> AM, Langguth P, Wachtel H. In vitro dose comparison of Respimat</w:t>
      </w:r>
      <w:r w:rsidRPr="00851D01">
        <w:rPr>
          <w:rFonts w:cstheme="minorHAnsi"/>
          <w:color w:val="212121"/>
          <w:sz w:val="16"/>
          <w:szCs w:val="16"/>
          <w:shd w:val="clear" w:color="auto" w:fill="FFFFFF"/>
          <w:vertAlign w:val="superscript"/>
        </w:rPr>
        <w:t>®</w:t>
      </w:r>
      <w:r w:rsidRPr="00851D01">
        <w:rPr>
          <w:rFonts w:cstheme="minorHAnsi"/>
          <w:color w:val="212121"/>
          <w:sz w:val="16"/>
          <w:szCs w:val="16"/>
          <w:shd w:val="clear" w:color="auto" w:fill="FFFFFF"/>
        </w:rPr>
        <w:t xml:space="preserve"> inhaler with dry powder inhalers for COPD maintenance therapy. Int J Chron Obstruct </w:t>
      </w:r>
      <w:proofErr w:type="spellStart"/>
      <w:r w:rsidRPr="00851D01">
        <w:rPr>
          <w:rFonts w:cstheme="minorHAnsi"/>
          <w:color w:val="212121"/>
          <w:sz w:val="16"/>
          <w:szCs w:val="16"/>
          <w:shd w:val="clear" w:color="auto" w:fill="FFFFFF"/>
        </w:rPr>
        <w:t>Pulmon</w:t>
      </w:r>
      <w:proofErr w:type="spellEnd"/>
      <w:r w:rsidRPr="00851D01">
        <w:rPr>
          <w:rFonts w:cstheme="minorHAnsi"/>
          <w:color w:val="212121"/>
          <w:sz w:val="16"/>
          <w:szCs w:val="16"/>
          <w:shd w:val="clear" w:color="auto" w:fill="FFFFFF"/>
        </w:rPr>
        <w:t xml:space="preserve"> Dis. 2017 May </w:t>
      </w:r>
      <w:proofErr w:type="gramStart"/>
      <w:r w:rsidRPr="00851D01">
        <w:rPr>
          <w:rFonts w:cstheme="minorHAnsi"/>
          <w:color w:val="212121"/>
          <w:sz w:val="16"/>
          <w:szCs w:val="16"/>
          <w:shd w:val="clear" w:color="auto" w:fill="FFFFFF"/>
        </w:rPr>
        <w:t>26;12:1565</w:t>
      </w:r>
      <w:proofErr w:type="gramEnd"/>
      <w:r w:rsidRPr="00851D01">
        <w:rPr>
          <w:rFonts w:cstheme="minorHAnsi"/>
          <w:color w:val="212121"/>
          <w:sz w:val="16"/>
          <w:szCs w:val="16"/>
          <w:shd w:val="clear" w:color="auto" w:fill="FFFFFF"/>
        </w:rPr>
        <w:t>-1577</w:t>
      </w:r>
    </w:p>
    <w:p w14:paraId="62EEC958" w14:textId="77777777" w:rsidR="00EC6269" w:rsidRPr="00851D01" w:rsidRDefault="00EC6269" w:rsidP="00EC6269">
      <w:pPr>
        <w:rPr>
          <w:rFonts w:cstheme="minorHAnsi"/>
          <w:color w:val="212121"/>
          <w:sz w:val="16"/>
          <w:szCs w:val="16"/>
          <w:shd w:val="clear" w:color="auto" w:fill="FFFFFF"/>
        </w:rPr>
      </w:pPr>
      <w:r w:rsidRPr="00851D01">
        <w:rPr>
          <w:rFonts w:cstheme="minorHAnsi"/>
          <w:sz w:val="16"/>
          <w:szCs w:val="16"/>
          <w:lang w:eastAsia="fr-BE"/>
        </w:rPr>
        <w:t>[10]</w:t>
      </w:r>
      <w:r w:rsidRPr="00851D01">
        <w:rPr>
          <w:rFonts w:cstheme="minorHAnsi"/>
          <w:sz w:val="16"/>
          <w:szCs w:val="16"/>
        </w:rPr>
        <w:t xml:space="preserve"> </w:t>
      </w:r>
      <w:r w:rsidRPr="00851D01">
        <w:rPr>
          <w:rFonts w:cstheme="minorHAnsi"/>
          <w:color w:val="212121"/>
          <w:sz w:val="16"/>
          <w:szCs w:val="16"/>
          <w:shd w:val="clear" w:color="auto" w:fill="FFFFFF"/>
        </w:rPr>
        <w:t xml:space="preserve">Muselík J, </w:t>
      </w:r>
      <w:proofErr w:type="spellStart"/>
      <w:r w:rsidRPr="00851D01">
        <w:rPr>
          <w:rFonts w:cstheme="minorHAnsi"/>
          <w:color w:val="212121"/>
          <w:sz w:val="16"/>
          <w:szCs w:val="16"/>
          <w:shd w:val="clear" w:color="auto" w:fill="FFFFFF"/>
        </w:rPr>
        <w:t>Komersová</w:t>
      </w:r>
      <w:proofErr w:type="spellEnd"/>
      <w:r w:rsidRPr="00851D01">
        <w:rPr>
          <w:rFonts w:cstheme="minorHAnsi"/>
          <w:color w:val="212121"/>
          <w:sz w:val="16"/>
          <w:szCs w:val="16"/>
          <w:shd w:val="clear" w:color="auto" w:fill="FFFFFF"/>
        </w:rPr>
        <w:t xml:space="preserve"> A, Kubová K, </w:t>
      </w:r>
      <w:proofErr w:type="spellStart"/>
      <w:r w:rsidRPr="00851D01">
        <w:rPr>
          <w:rFonts w:cstheme="minorHAnsi"/>
          <w:color w:val="212121"/>
          <w:sz w:val="16"/>
          <w:szCs w:val="16"/>
          <w:shd w:val="clear" w:color="auto" w:fill="FFFFFF"/>
        </w:rPr>
        <w:t>Matzick</w:t>
      </w:r>
      <w:proofErr w:type="spellEnd"/>
      <w:r w:rsidRPr="00851D01">
        <w:rPr>
          <w:rFonts w:cstheme="minorHAnsi"/>
          <w:color w:val="212121"/>
          <w:sz w:val="16"/>
          <w:szCs w:val="16"/>
          <w:shd w:val="clear" w:color="auto" w:fill="FFFFFF"/>
        </w:rPr>
        <w:t xml:space="preserve"> K, Skalická B. A Critical Overview of FDA and EMA Statistical Methods to Compare In Vitro Drug Dissolution Profiles of Pharmaceutical Products. Pharmaceutics. 2021 Oct 15;13(10):1703.</w:t>
      </w:r>
    </w:p>
    <w:p w14:paraId="57DCC100" w14:textId="3EC7FEB8" w:rsidR="00A515A9" w:rsidRPr="001C1A34" w:rsidRDefault="00A515A9" w:rsidP="00D156FE">
      <w:pPr>
        <w:pStyle w:val="DDLBodyText"/>
      </w:pPr>
    </w:p>
    <w:sectPr w:rsidR="00A515A9" w:rsidRPr="001C1A34" w:rsidSect="00660395">
      <w:headerReference w:type="even" r:id="rId13"/>
      <w:headerReference w:type="default" r:id="rId14"/>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B30B4" w14:textId="77777777" w:rsidR="005B3945" w:rsidRDefault="005B3945" w:rsidP="00A515A9">
      <w:pPr>
        <w:spacing w:after="0"/>
      </w:pPr>
      <w:r>
        <w:separator/>
      </w:r>
    </w:p>
  </w:endnote>
  <w:endnote w:type="continuationSeparator" w:id="0">
    <w:p w14:paraId="1C90B486" w14:textId="77777777" w:rsidR="005B3945" w:rsidRDefault="005B3945"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EF4F8" w14:textId="77777777" w:rsidR="005B3945" w:rsidRDefault="005B3945" w:rsidP="00A515A9">
      <w:pPr>
        <w:spacing w:after="0"/>
      </w:pPr>
      <w:r>
        <w:separator/>
      </w:r>
    </w:p>
  </w:footnote>
  <w:footnote w:type="continuationSeparator" w:id="0">
    <w:p w14:paraId="1E66BE71" w14:textId="77777777" w:rsidR="005B3945" w:rsidRDefault="005B3945"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46DB417E"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BB722C">
      <w:rPr>
        <w:i/>
      </w:rPr>
      <w:t>4</w:t>
    </w:r>
    <w:r w:rsidR="008C5C57" w:rsidRPr="003C58EE">
      <w:rPr>
        <w:i/>
      </w:rPr>
      <w:t>,</w:t>
    </w:r>
    <w:r w:rsidR="00964A86" w:rsidRPr="003C58EE">
      <w:rPr>
        <w:i/>
      </w:rPr>
      <w:t xml:space="preserve"> 20</w:t>
    </w:r>
    <w:r w:rsidR="00F27E20" w:rsidRPr="003C58EE">
      <w:rPr>
        <w:i/>
      </w:rPr>
      <w:t>2</w:t>
    </w:r>
    <w:r w:rsidR="00BB722C">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712966800"/>
        <w:lock w:val="sdtLocked"/>
        <w:placeholder>
          <w:docPart w:val="B046F90048CB4F0380F99889E7477724"/>
        </w:placeholder>
      </w:sdtPr>
      <w:sdtEndPr>
        <w:rPr>
          <w:rStyle w:val="PlaceholderText"/>
          <w:color w:val="808080"/>
        </w:rPr>
      </w:sdtEndPr>
      <w:sdtContent>
        <w:sdt>
          <w:sdtPr>
            <w:rPr>
              <w:color w:val="808080"/>
            </w:rPr>
            <w:alias w:val="Title"/>
            <w:tag w:val="Title"/>
            <w:id w:val="-621529351"/>
            <w:placeholder>
              <w:docPart w:val="6A7EEC2FB9E74760BB2B30586E389CB0"/>
            </w:placeholder>
          </w:sdtPr>
          <w:sdtEndPr>
            <w:rPr>
              <w:color w:val="auto"/>
            </w:rPr>
          </w:sdtEndPr>
          <w:sdtContent>
            <w:r w:rsidR="00A5267D" w:rsidRPr="00EC2070">
              <w:rPr>
                <w:i/>
                <w:iCs/>
              </w:rPr>
              <w:t xml:space="preserve">Development of innovative controlled released dry powders for </w:t>
            </w:r>
            <w:proofErr w:type="gramStart"/>
            <w:r w:rsidR="00A5267D" w:rsidRPr="00EC2070">
              <w:rPr>
                <w:i/>
                <w:iCs/>
              </w:rPr>
              <w:t>inhalation  based</w:t>
            </w:r>
            <w:proofErr w:type="gramEnd"/>
            <w:r w:rsidR="00A5267D" w:rsidRPr="00EC2070">
              <w:rPr>
                <w:i/>
                <w:iCs/>
              </w:rPr>
              <w:t xml:space="preserve"> on budesonide for a once daily administration</w:t>
            </w:r>
            <w:r w:rsidR="00A5267D">
              <w:t>.</w:t>
            </w:r>
          </w:sdtContent>
        </w:sdt>
        <w:r w:rsidR="00A5267D">
          <w:t xml:space="preserve">  </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26A76CEC"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w:t>
    </w:r>
    <w:r w:rsidR="00EC6269">
      <w:rPr>
        <w:i/>
      </w:rPr>
      <w:t>–</w:t>
    </w:r>
    <w:r w:rsidR="00964A86" w:rsidRPr="00964A86">
      <w:rPr>
        <w:i/>
      </w:rPr>
      <w:t xml:space="preserve">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041593484"/>
        <w:lock w:val="sdtLocked"/>
        <w:placeholder>
          <w:docPart w:val="8767CCE5C7C749C29833C80B52C2E589"/>
        </w:placeholder>
      </w:sdtPr>
      <w:sdtEndPr>
        <w:rPr>
          <w:rStyle w:val="PlaceholderText"/>
          <w:color w:val="808080"/>
        </w:rPr>
      </w:sdtEndPr>
      <w:sdtContent>
        <w:r w:rsidR="00EC6269">
          <w:rPr>
            <w:i/>
          </w:rPr>
          <w:t>Le Van Bui</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616D"/>
    <w:rsid w:val="00016641"/>
    <w:rsid w:val="00032260"/>
    <w:rsid w:val="00042D62"/>
    <w:rsid w:val="00054372"/>
    <w:rsid w:val="0006467A"/>
    <w:rsid w:val="0009390F"/>
    <w:rsid w:val="000A2590"/>
    <w:rsid w:val="000A5A12"/>
    <w:rsid w:val="000E77D5"/>
    <w:rsid w:val="0012224E"/>
    <w:rsid w:val="00134FB6"/>
    <w:rsid w:val="001516A0"/>
    <w:rsid w:val="00160344"/>
    <w:rsid w:val="001604DB"/>
    <w:rsid w:val="001942DB"/>
    <w:rsid w:val="001B0E1B"/>
    <w:rsid w:val="001C1A34"/>
    <w:rsid w:val="001F70F6"/>
    <w:rsid w:val="001F79B3"/>
    <w:rsid w:val="00217845"/>
    <w:rsid w:val="00231C18"/>
    <w:rsid w:val="002643FE"/>
    <w:rsid w:val="002666D8"/>
    <w:rsid w:val="00283F05"/>
    <w:rsid w:val="00287EA3"/>
    <w:rsid w:val="0029067A"/>
    <w:rsid w:val="002A3E34"/>
    <w:rsid w:val="002B74ED"/>
    <w:rsid w:val="002E77AE"/>
    <w:rsid w:val="002F38E3"/>
    <w:rsid w:val="00311E4A"/>
    <w:rsid w:val="0031528C"/>
    <w:rsid w:val="00323FE7"/>
    <w:rsid w:val="0033185B"/>
    <w:rsid w:val="0034725F"/>
    <w:rsid w:val="00387ECA"/>
    <w:rsid w:val="0039248E"/>
    <w:rsid w:val="003B1031"/>
    <w:rsid w:val="003B383B"/>
    <w:rsid w:val="003B65D1"/>
    <w:rsid w:val="003C0C23"/>
    <w:rsid w:val="003C568E"/>
    <w:rsid w:val="003C58EE"/>
    <w:rsid w:val="003C6A3B"/>
    <w:rsid w:val="003D10FC"/>
    <w:rsid w:val="003D3DDE"/>
    <w:rsid w:val="003D7C47"/>
    <w:rsid w:val="003E5D10"/>
    <w:rsid w:val="003F37A9"/>
    <w:rsid w:val="00404A4E"/>
    <w:rsid w:val="0040614F"/>
    <w:rsid w:val="0041018A"/>
    <w:rsid w:val="00424C98"/>
    <w:rsid w:val="00427F09"/>
    <w:rsid w:val="00442036"/>
    <w:rsid w:val="00444A63"/>
    <w:rsid w:val="00447700"/>
    <w:rsid w:val="00490C5A"/>
    <w:rsid w:val="00496006"/>
    <w:rsid w:val="004A684A"/>
    <w:rsid w:val="004B2051"/>
    <w:rsid w:val="004B6D88"/>
    <w:rsid w:val="004C1847"/>
    <w:rsid w:val="004F7E1D"/>
    <w:rsid w:val="004F7F64"/>
    <w:rsid w:val="005302DC"/>
    <w:rsid w:val="005303CA"/>
    <w:rsid w:val="005357DB"/>
    <w:rsid w:val="00541F41"/>
    <w:rsid w:val="00544864"/>
    <w:rsid w:val="00544FB7"/>
    <w:rsid w:val="00565D5A"/>
    <w:rsid w:val="00582113"/>
    <w:rsid w:val="00591DC8"/>
    <w:rsid w:val="00593A46"/>
    <w:rsid w:val="00596663"/>
    <w:rsid w:val="005B3945"/>
    <w:rsid w:val="005B5FD9"/>
    <w:rsid w:val="005D1383"/>
    <w:rsid w:val="005D441D"/>
    <w:rsid w:val="005F4472"/>
    <w:rsid w:val="006047B7"/>
    <w:rsid w:val="00613573"/>
    <w:rsid w:val="006220F6"/>
    <w:rsid w:val="00623DF2"/>
    <w:rsid w:val="00631B86"/>
    <w:rsid w:val="00637050"/>
    <w:rsid w:val="00642787"/>
    <w:rsid w:val="00660395"/>
    <w:rsid w:val="00671088"/>
    <w:rsid w:val="00676DA7"/>
    <w:rsid w:val="00677708"/>
    <w:rsid w:val="00686D0B"/>
    <w:rsid w:val="00697AE7"/>
    <w:rsid w:val="006A7D26"/>
    <w:rsid w:val="006B12B5"/>
    <w:rsid w:val="006B3D22"/>
    <w:rsid w:val="006E1C6F"/>
    <w:rsid w:val="006F0288"/>
    <w:rsid w:val="0070763C"/>
    <w:rsid w:val="00711C1F"/>
    <w:rsid w:val="00715F4B"/>
    <w:rsid w:val="00725C82"/>
    <w:rsid w:val="007735FD"/>
    <w:rsid w:val="00774E51"/>
    <w:rsid w:val="00781E78"/>
    <w:rsid w:val="0078212D"/>
    <w:rsid w:val="00784010"/>
    <w:rsid w:val="00787F68"/>
    <w:rsid w:val="007B1DB0"/>
    <w:rsid w:val="007B2BEC"/>
    <w:rsid w:val="007B38B6"/>
    <w:rsid w:val="007D307A"/>
    <w:rsid w:val="007E2F09"/>
    <w:rsid w:val="007E4351"/>
    <w:rsid w:val="007F4697"/>
    <w:rsid w:val="00804EEB"/>
    <w:rsid w:val="008050EA"/>
    <w:rsid w:val="00821655"/>
    <w:rsid w:val="00836B77"/>
    <w:rsid w:val="00837ED2"/>
    <w:rsid w:val="008443EE"/>
    <w:rsid w:val="0084598F"/>
    <w:rsid w:val="00852676"/>
    <w:rsid w:val="00860916"/>
    <w:rsid w:val="00870B52"/>
    <w:rsid w:val="00881895"/>
    <w:rsid w:val="008B02F1"/>
    <w:rsid w:val="008B4BF0"/>
    <w:rsid w:val="008C5C57"/>
    <w:rsid w:val="008C7F2D"/>
    <w:rsid w:val="008D115B"/>
    <w:rsid w:val="008D4D8B"/>
    <w:rsid w:val="008D7F19"/>
    <w:rsid w:val="008F2A41"/>
    <w:rsid w:val="00930DA1"/>
    <w:rsid w:val="0093458B"/>
    <w:rsid w:val="00941946"/>
    <w:rsid w:val="0095324F"/>
    <w:rsid w:val="00964A86"/>
    <w:rsid w:val="00966CD3"/>
    <w:rsid w:val="00974E37"/>
    <w:rsid w:val="009818AC"/>
    <w:rsid w:val="00990C1E"/>
    <w:rsid w:val="00996628"/>
    <w:rsid w:val="009A0009"/>
    <w:rsid w:val="009A1638"/>
    <w:rsid w:val="009A4453"/>
    <w:rsid w:val="009A52B9"/>
    <w:rsid w:val="009A5E01"/>
    <w:rsid w:val="009C6C08"/>
    <w:rsid w:val="009D1A31"/>
    <w:rsid w:val="009D1CB7"/>
    <w:rsid w:val="009D5953"/>
    <w:rsid w:val="009D77B3"/>
    <w:rsid w:val="009E7542"/>
    <w:rsid w:val="00A0358B"/>
    <w:rsid w:val="00A13504"/>
    <w:rsid w:val="00A14F14"/>
    <w:rsid w:val="00A46DAE"/>
    <w:rsid w:val="00A515A9"/>
    <w:rsid w:val="00A5267D"/>
    <w:rsid w:val="00A67298"/>
    <w:rsid w:val="00A94905"/>
    <w:rsid w:val="00AA1175"/>
    <w:rsid w:val="00AA74BE"/>
    <w:rsid w:val="00AC04A2"/>
    <w:rsid w:val="00AD115D"/>
    <w:rsid w:val="00AE6ECA"/>
    <w:rsid w:val="00B122AD"/>
    <w:rsid w:val="00B25B95"/>
    <w:rsid w:val="00B412B3"/>
    <w:rsid w:val="00B42A7F"/>
    <w:rsid w:val="00B5120E"/>
    <w:rsid w:val="00B54843"/>
    <w:rsid w:val="00B55646"/>
    <w:rsid w:val="00B719D1"/>
    <w:rsid w:val="00B804AB"/>
    <w:rsid w:val="00B906A5"/>
    <w:rsid w:val="00B94313"/>
    <w:rsid w:val="00BB2738"/>
    <w:rsid w:val="00BB33A4"/>
    <w:rsid w:val="00BB722C"/>
    <w:rsid w:val="00BC0021"/>
    <w:rsid w:val="00BC30C2"/>
    <w:rsid w:val="00BC3B49"/>
    <w:rsid w:val="00BD68AD"/>
    <w:rsid w:val="00BD70D3"/>
    <w:rsid w:val="00BD7DE3"/>
    <w:rsid w:val="00C0283C"/>
    <w:rsid w:val="00C126B9"/>
    <w:rsid w:val="00C543B6"/>
    <w:rsid w:val="00C544FF"/>
    <w:rsid w:val="00C5513E"/>
    <w:rsid w:val="00C65A37"/>
    <w:rsid w:val="00C6681A"/>
    <w:rsid w:val="00C974E1"/>
    <w:rsid w:val="00CC1B69"/>
    <w:rsid w:val="00CE39C8"/>
    <w:rsid w:val="00CF24A7"/>
    <w:rsid w:val="00CF7D1B"/>
    <w:rsid w:val="00D075F7"/>
    <w:rsid w:val="00D1209B"/>
    <w:rsid w:val="00D156FE"/>
    <w:rsid w:val="00D23C41"/>
    <w:rsid w:val="00D26210"/>
    <w:rsid w:val="00D41A7C"/>
    <w:rsid w:val="00D47884"/>
    <w:rsid w:val="00D54376"/>
    <w:rsid w:val="00D566D3"/>
    <w:rsid w:val="00D67A60"/>
    <w:rsid w:val="00D85CE6"/>
    <w:rsid w:val="00D93537"/>
    <w:rsid w:val="00D9655E"/>
    <w:rsid w:val="00DB349E"/>
    <w:rsid w:val="00DD4A2D"/>
    <w:rsid w:val="00DD5EB8"/>
    <w:rsid w:val="00DE0973"/>
    <w:rsid w:val="00DE53F7"/>
    <w:rsid w:val="00DE6AE7"/>
    <w:rsid w:val="00DF1745"/>
    <w:rsid w:val="00DF392A"/>
    <w:rsid w:val="00E00624"/>
    <w:rsid w:val="00E108CE"/>
    <w:rsid w:val="00E14DBF"/>
    <w:rsid w:val="00E354BB"/>
    <w:rsid w:val="00E42945"/>
    <w:rsid w:val="00E51903"/>
    <w:rsid w:val="00E62590"/>
    <w:rsid w:val="00E92FCA"/>
    <w:rsid w:val="00E9667D"/>
    <w:rsid w:val="00E97489"/>
    <w:rsid w:val="00EA530D"/>
    <w:rsid w:val="00EC2070"/>
    <w:rsid w:val="00EC2143"/>
    <w:rsid w:val="00EC6269"/>
    <w:rsid w:val="00ED747C"/>
    <w:rsid w:val="00EE7503"/>
    <w:rsid w:val="00F15D45"/>
    <w:rsid w:val="00F20F19"/>
    <w:rsid w:val="00F2495D"/>
    <w:rsid w:val="00F27E20"/>
    <w:rsid w:val="00F3080A"/>
    <w:rsid w:val="00F435EA"/>
    <w:rsid w:val="00FA6F23"/>
    <w:rsid w:val="00FC33BA"/>
    <w:rsid w:val="00FD125D"/>
    <w:rsid w:val="00FE2845"/>
    <w:rsid w:val="00FE2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styleId="FootnoteText">
    <w:name w:val="footnote text"/>
    <w:basedOn w:val="Normal"/>
    <w:link w:val="FootnoteTextChar"/>
    <w:uiPriority w:val="99"/>
    <w:unhideWhenUsed/>
    <w:rsid w:val="00EC6269"/>
    <w:pPr>
      <w:spacing w:after="0"/>
    </w:pPr>
    <w:rPr>
      <w:sz w:val="20"/>
      <w:lang w:val="fr-BE" w:eastAsia="en-US"/>
    </w:rPr>
  </w:style>
  <w:style w:type="character" w:customStyle="1" w:styleId="FootnoteTextChar">
    <w:name w:val="Footnote Text Char"/>
    <w:basedOn w:val="DefaultParagraphFont"/>
    <w:link w:val="FootnoteText"/>
    <w:uiPriority w:val="99"/>
    <w:rsid w:val="00EC6269"/>
    <w:rPr>
      <w:rFonts w:ascii="Arial" w:hAnsi="Arial"/>
      <w:lang w:val="fr-BE" w:eastAsia="en-US"/>
    </w:rPr>
  </w:style>
  <w:style w:type="table" w:styleId="TableGrid">
    <w:name w:val="Table Grid"/>
    <w:basedOn w:val="TableNormal"/>
    <w:uiPriority w:val="39"/>
    <w:rsid w:val="00EC6269"/>
    <w:rPr>
      <w:rFonts w:asciiTheme="minorHAnsi" w:eastAsiaTheme="minorHAnsi" w:hAnsiTheme="minorHAnsi" w:cstheme="minorBidi"/>
      <w:kern w:val="2"/>
      <w:sz w:val="22"/>
      <w:szCs w:val="22"/>
      <w:lang w:val="fr-B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Bui@ulb.b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8767CCE5C7C749C29833C80B52C2E589"/>
        <w:category>
          <w:name w:val="General"/>
          <w:gallery w:val="placeholder"/>
        </w:category>
        <w:types>
          <w:type w:val="bbPlcHdr"/>
        </w:types>
        <w:behaviors>
          <w:behavior w:val="content"/>
        </w:behaviors>
        <w:guid w:val="{4FC66B6F-D2F5-4631-A24F-ED1C9CE7FD41}"/>
      </w:docPartPr>
      <w:docPartBody>
        <w:p w:rsidR="004A5D97" w:rsidRDefault="00623571" w:rsidP="00623571">
          <w:pPr>
            <w:pStyle w:val="8767CCE5C7C749C29833C80B52C2E5891"/>
          </w:pPr>
          <w:r w:rsidRPr="00964A86">
            <w:rPr>
              <w:rStyle w:val="PlaceholderText"/>
              <w:i/>
              <w:color w:val="auto"/>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color w:val="auto"/>
            </w:rPr>
            <w:t>Title of Your Paper</w:t>
          </w:r>
        </w:p>
      </w:docPartBody>
    </w:docPart>
    <w:docPart>
      <w:docPartPr>
        <w:name w:val="6A7EEC2FB9E74760BB2B30586E389CB0"/>
        <w:category>
          <w:name w:val="Général"/>
          <w:gallery w:val="placeholder"/>
        </w:category>
        <w:types>
          <w:type w:val="bbPlcHdr"/>
        </w:types>
        <w:behaviors>
          <w:behavior w:val="content"/>
        </w:behaviors>
        <w:guid w:val="{97BB2B8C-1307-46DF-8DAE-78A9A26499AF}"/>
      </w:docPartPr>
      <w:docPartBody>
        <w:p w:rsidR="005903DB" w:rsidRDefault="009A6862" w:rsidP="009A6862">
          <w:pPr>
            <w:pStyle w:val="6A7EEC2FB9E74760BB2B30586E389CB0"/>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1703F7"/>
    <w:rsid w:val="00194847"/>
    <w:rsid w:val="001D4D96"/>
    <w:rsid w:val="002F60FC"/>
    <w:rsid w:val="003009AF"/>
    <w:rsid w:val="004A5D97"/>
    <w:rsid w:val="005025F8"/>
    <w:rsid w:val="005903DB"/>
    <w:rsid w:val="006060B6"/>
    <w:rsid w:val="00623571"/>
    <w:rsid w:val="006966B2"/>
    <w:rsid w:val="008136A9"/>
    <w:rsid w:val="00943A37"/>
    <w:rsid w:val="009A6862"/>
    <w:rsid w:val="009C64BA"/>
    <w:rsid w:val="009F0831"/>
    <w:rsid w:val="00AD0A82"/>
    <w:rsid w:val="00B01474"/>
    <w:rsid w:val="00CF1D98"/>
    <w:rsid w:val="00DB04D1"/>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6862"/>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 w:type="paragraph" w:customStyle="1" w:styleId="6A7EEC2FB9E74760BB2B30586E389CB0">
    <w:name w:val="6A7EEC2FB9E74760BB2B30586E389CB0"/>
    <w:rsid w:val="009A6862"/>
    <w:rPr>
      <w:kern w:val="2"/>
      <w:lang w:val="fr-BE" w:eastAsia="fr-B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760F07-64B8-4F13-997B-B5739F171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3.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4.xml><?xml version="1.0" encoding="utf-8"?>
<ds:datastoreItem xmlns:ds="http://schemas.openxmlformats.org/officeDocument/2006/customXml" ds:itemID="{FCA5D22E-BE9C-4A4D-97B4-7D4C5D48F5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2232</Words>
  <Characters>12729</Characters>
  <Application>Microsoft Office Word</Application>
  <DocSecurity>0</DocSecurity>
  <Lines>106</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3</cp:revision>
  <cp:lastPrinted>2015-06-18T14:58:00Z</cp:lastPrinted>
  <dcterms:created xsi:type="dcterms:W3CDTF">2023-10-15T08:46:00Z</dcterms:created>
  <dcterms:modified xsi:type="dcterms:W3CDTF">2023-10-15T08:47:00Z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