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162CBEB2" w:rsidR="000E77D5" w:rsidRPr="00056FFE" w:rsidRDefault="00000000" w:rsidP="00AD115D">
      <w:pPr>
        <w:pStyle w:val="DDLTitle"/>
      </w:pPr>
      <w:sdt>
        <w:sdtPr>
          <w:alias w:val="Title"/>
          <w:tag w:val="Title"/>
          <w:id w:val="-912845432"/>
          <w:lock w:val="sdtLocked"/>
          <w:placeholder>
            <w:docPart w:val="F93874C70D8C44D6B0BA71800E08656C"/>
          </w:placeholder>
        </w:sdtPr>
        <w:sdtContent>
          <w:r w:rsidR="00275EA8" w:rsidRPr="00056FFE">
            <w:t xml:space="preserve">Overview of </w:t>
          </w:r>
          <w:r w:rsidR="006C79F1">
            <w:t xml:space="preserve">the </w:t>
          </w:r>
          <w:r w:rsidR="00275EA8" w:rsidRPr="00056FFE">
            <w:t xml:space="preserve">Nonclinical Safety Program for 1,1-Difluoroethane </w:t>
          </w:r>
          <w:r w:rsidR="00A82FA6" w:rsidRPr="00056FFE">
            <w:t xml:space="preserve">(HFA-152a) </w:t>
          </w:r>
          <w:r w:rsidR="00275EA8" w:rsidRPr="00056FFE">
            <w:t xml:space="preserve">as a </w:t>
          </w:r>
          <w:r w:rsidR="00FC61E2">
            <w:t>Low Global Warming Potential</w:t>
          </w:r>
          <w:r w:rsidR="00FC61E2" w:rsidRPr="00056FFE">
            <w:t xml:space="preserve"> </w:t>
          </w:r>
          <w:r w:rsidR="00275EA8" w:rsidRPr="00056FFE">
            <w:t>Metered Dose Inhaler Propellant</w:t>
          </w:r>
        </w:sdtContent>
      </w:sdt>
      <w:bookmarkEnd w:id="0"/>
      <w:r w:rsidR="00881895" w:rsidRPr="00056FFE">
        <w:t xml:space="preserve"> </w:t>
      </w:r>
    </w:p>
    <w:bookmarkStart w:id="1" w:name="Author"/>
    <w:p w14:paraId="57DCC0EC" w14:textId="6A89520D" w:rsidR="00C65A37" w:rsidRPr="00056FFE" w:rsidRDefault="00000000" w:rsidP="00AD115D">
      <w:pPr>
        <w:pStyle w:val="DDLSubtitle"/>
      </w:pPr>
      <w:sdt>
        <w:sdtPr>
          <w:rPr>
            <w:u w:val="single"/>
          </w:rPr>
          <w:alias w:val="Main Author"/>
          <w:tag w:val="Main Author"/>
          <w:id w:val="854543900"/>
          <w:lock w:val="sdtLocked"/>
          <w:placeholder>
            <w:docPart w:val="38BA82FFF2774C26AC6862CFB8BB55DB"/>
          </w:placeholder>
        </w:sdtPr>
        <w:sdtContent>
          <w:r w:rsidR="00275EA8" w:rsidRPr="00056FFE">
            <w:rPr>
              <w:u w:val="single"/>
            </w:rPr>
            <w:t>Mohar I</w:t>
          </w:r>
        </w:sdtContent>
      </w:sdt>
      <w:bookmarkEnd w:id="1"/>
      <w:r w:rsidR="00676DA7" w:rsidRPr="00056FFE">
        <w:rPr>
          <w:vertAlign w:val="superscript"/>
        </w:rPr>
        <w:t>1</w:t>
      </w:r>
      <w:r w:rsidR="007C1C09" w:rsidRPr="00056FFE">
        <w:t>,</w:t>
      </w:r>
      <w:r w:rsidR="00676DA7" w:rsidRPr="00056FFE">
        <w:t xml:space="preserve"> </w:t>
      </w:r>
      <w:r w:rsidR="00575543" w:rsidRPr="00056FFE">
        <w:t>Lewandowski</w:t>
      </w:r>
      <w:r w:rsidR="007C1C09" w:rsidRPr="00056FFE">
        <w:t xml:space="preserve"> </w:t>
      </w:r>
      <w:r w:rsidR="00575543" w:rsidRPr="00056FFE">
        <w:t>TA</w:t>
      </w:r>
      <w:r w:rsidR="00575543" w:rsidRPr="00056FFE">
        <w:rPr>
          <w:vertAlign w:val="superscript"/>
        </w:rPr>
        <w:t>1</w:t>
      </w:r>
      <w:r w:rsidR="00575543" w:rsidRPr="00056FFE">
        <w:t xml:space="preserve">, </w:t>
      </w:r>
      <w:r w:rsidR="007C1C09" w:rsidRPr="00056FFE">
        <w:t>Johnson S</w:t>
      </w:r>
      <w:r w:rsidR="007C1C09" w:rsidRPr="00056FFE">
        <w:rPr>
          <w:vertAlign w:val="superscript"/>
        </w:rPr>
        <w:t>2</w:t>
      </w:r>
      <w:r w:rsidR="007C1C09" w:rsidRPr="00056FFE">
        <w:t xml:space="preserve">, </w:t>
      </w:r>
      <w:r w:rsidR="00275EA8" w:rsidRPr="00056FFE">
        <w:t>Corr SC</w:t>
      </w:r>
      <w:r w:rsidR="00676DA7" w:rsidRPr="00056FFE">
        <w:rPr>
          <w:vertAlign w:val="superscript"/>
        </w:rPr>
        <w:t>2</w:t>
      </w:r>
      <w:r w:rsidR="00575543" w:rsidRPr="00056FFE">
        <w:t xml:space="preserve">, </w:t>
      </w:r>
      <w:r w:rsidR="00C65A37" w:rsidRPr="00056FFE">
        <w:t xml:space="preserve">&amp; </w:t>
      </w:r>
      <w:r w:rsidR="00275EA8" w:rsidRPr="00056FFE">
        <w:t>Leach C</w:t>
      </w:r>
      <w:r w:rsidR="00575543" w:rsidRPr="00056FFE">
        <w:rPr>
          <w:vertAlign w:val="superscript"/>
        </w:rPr>
        <w:t>3</w:t>
      </w:r>
    </w:p>
    <w:p w14:paraId="57DCC0ED" w14:textId="001FB361" w:rsidR="00C65A37" w:rsidRPr="00056FFE" w:rsidRDefault="00676DA7" w:rsidP="00AD115D">
      <w:pPr>
        <w:pStyle w:val="DDLAddress1"/>
      </w:pPr>
      <w:r w:rsidRPr="00056FFE">
        <w:rPr>
          <w:vertAlign w:val="superscript"/>
        </w:rPr>
        <w:t>1</w:t>
      </w:r>
      <w:r w:rsidR="00575543" w:rsidRPr="00056FFE">
        <w:t>Gradient</w:t>
      </w:r>
      <w:r w:rsidRPr="00056FFE">
        <w:t xml:space="preserve">, </w:t>
      </w:r>
      <w:r w:rsidR="00575543" w:rsidRPr="00056FFE">
        <w:t>600 Stewart Street</w:t>
      </w:r>
      <w:r w:rsidRPr="00056FFE">
        <w:t xml:space="preserve">, </w:t>
      </w:r>
      <w:r w:rsidR="00575543" w:rsidRPr="00056FFE">
        <w:t>Suite 1900</w:t>
      </w:r>
      <w:r w:rsidRPr="00056FFE">
        <w:t xml:space="preserve">, </w:t>
      </w:r>
      <w:r w:rsidR="00575543" w:rsidRPr="00056FFE">
        <w:t>Seattle</w:t>
      </w:r>
      <w:r w:rsidR="002E2D77">
        <w:t>, WA</w:t>
      </w:r>
      <w:r w:rsidRPr="00056FFE">
        <w:t xml:space="preserve">, </w:t>
      </w:r>
      <w:r w:rsidR="00575543" w:rsidRPr="00056FFE">
        <w:t>USA</w:t>
      </w:r>
    </w:p>
    <w:p w14:paraId="77AC0EC1" w14:textId="1A2F7D96" w:rsidR="00304D7D" w:rsidRPr="00056FFE" w:rsidRDefault="00676DA7" w:rsidP="00F15481">
      <w:pPr>
        <w:pStyle w:val="DDLAddress2"/>
        <w:spacing w:after="60"/>
      </w:pPr>
      <w:r w:rsidRPr="00056FFE">
        <w:rPr>
          <w:vertAlign w:val="superscript"/>
        </w:rPr>
        <w:t>2</w:t>
      </w:r>
      <w:r w:rsidR="00575543" w:rsidRPr="00056FFE">
        <w:t>Koura</w:t>
      </w:r>
      <w:r w:rsidRPr="00056FFE">
        <w:t xml:space="preserve">, </w:t>
      </w:r>
      <w:r w:rsidR="003548B9" w:rsidRPr="00056FFE">
        <w:t>Thornton Science Park</w:t>
      </w:r>
      <w:r w:rsidRPr="00056FFE">
        <w:t xml:space="preserve">, </w:t>
      </w:r>
      <w:r w:rsidR="003548B9" w:rsidRPr="00056FFE">
        <w:t>Pool Lane, Ince</w:t>
      </w:r>
      <w:r w:rsidRPr="00056FFE">
        <w:t xml:space="preserve">, </w:t>
      </w:r>
      <w:r w:rsidR="003548B9" w:rsidRPr="00056FFE">
        <w:t>Chester</w:t>
      </w:r>
      <w:r w:rsidRPr="00056FFE">
        <w:t xml:space="preserve">, </w:t>
      </w:r>
      <w:r w:rsidR="003548B9" w:rsidRPr="00056FFE">
        <w:t>CH2 4NU</w:t>
      </w:r>
      <w:r w:rsidRPr="00056FFE">
        <w:t xml:space="preserve">, </w:t>
      </w:r>
      <w:r w:rsidR="003548B9" w:rsidRPr="00056FFE">
        <w:t>United Kingdom</w:t>
      </w:r>
    </w:p>
    <w:p w14:paraId="484336E6" w14:textId="5B31485C" w:rsidR="00575543" w:rsidRPr="00056FFE" w:rsidRDefault="00575543" w:rsidP="009A107B">
      <w:pPr>
        <w:pStyle w:val="DDLAddress2"/>
      </w:pPr>
      <w:r w:rsidRPr="00056FFE">
        <w:rPr>
          <w:vertAlign w:val="superscript"/>
        </w:rPr>
        <w:t>3</w:t>
      </w:r>
      <w:r w:rsidRPr="00056FFE">
        <w:t xml:space="preserve">Independent Consultant, </w:t>
      </w:r>
      <w:r w:rsidR="00793762" w:rsidRPr="00056FFE">
        <w:t>Tijeras</w:t>
      </w:r>
      <w:r w:rsidR="002E2D77">
        <w:t>, NM</w:t>
      </w:r>
      <w:r w:rsidR="00793762" w:rsidRPr="00056FFE">
        <w:t xml:space="preserve">, </w:t>
      </w:r>
      <w:r w:rsidRPr="00056FFE">
        <w:t>USA</w:t>
      </w:r>
    </w:p>
    <w:p w14:paraId="57DCC0EF" w14:textId="77777777" w:rsidR="00C65A37" w:rsidRPr="00056FFE" w:rsidRDefault="00C65A37" w:rsidP="00D156FE">
      <w:pPr>
        <w:pStyle w:val="DDLHeading1"/>
        <w:rPr>
          <w:sz w:val="20"/>
          <w:szCs w:val="20"/>
        </w:rPr>
      </w:pPr>
      <w:r w:rsidRPr="00056FFE">
        <w:rPr>
          <w:sz w:val="20"/>
          <w:szCs w:val="20"/>
        </w:rPr>
        <w:t>Summary</w:t>
      </w:r>
    </w:p>
    <w:p w14:paraId="57DCC0F0" w14:textId="4D9C72E1" w:rsidR="00966CD3" w:rsidRPr="00056FFE" w:rsidRDefault="00913573" w:rsidP="00D156FE">
      <w:pPr>
        <w:pStyle w:val="DDLBodyText"/>
        <w:rPr>
          <w:sz w:val="20"/>
        </w:rPr>
      </w:pPr>
      <w:r w:rsidRPr="00056FFE">
        <w:rPr>
          <w:sz w:val="20"/>
        </w:rPr>
        <w:t xml:space="preserve">Pressurized metered dose inhalers (pMDIs) deliver life-saving medicines </w:t>
      </w:r>
      <w:r w:rsidR="00D416C4" w:rsidRPr="00056FFE">
        <w:rPr>
          <w:sz w:val="20"/>
        </w:rPr>
        <w:t xml:space="preserve">with more than 800 million pMDIs produced </w:t>
      </w:r>
      <w:r w:rsidRPr="00056FFE">
        <w:rPr>
          <w:sz w:val="20"/>
        </w:rPr>
        <w:t xml:space="preserve">annually.  1,1-Difluoroethane (HFA-152a) </w:t>
      </w:r>
      <w:r w:rsidR="00476F1D" w:rsidRPr="00056FFE">
        <w:rPr>
          <w:sz w:val="20"/>
        </w:rPr>
        <w:t>is being</w:t>
      </w:r>
      <w:r w:rsidRPr="00056FFE">
        <w:rPr>
          <w:sz w:val="20"/>
        </w:rPr>
        <w:t xml:space="preserve"> developed as a pMDI propellant and as a more environmentally sustainable alternative to current </w:t>
      </w:r>
      <w:r w:rsidR="008D5FBC" w:rsidRPr="00056FFE">
        <w:rPr>
          <w:sz w:val="20"/>
        </w:rPr>
        <w:t xml:space="preserve">hydrofluoroalkane </w:t>
      </w:r>
      <w:r w:rsidR="00CC59B4">
        <w:rPr>
          <w:sz w:val="20"/>
        </w:rPr>
        <w:t xml:space="preserve">(HFA) </w:t>
      </w:r>
      <w:r w:rsidRPr="00056FFE">
        <w:rPr>
          <w:sz w:val="20"/>
        </w:rPr>
        <w:t>propellants</w:t>
      </w:r>
      <w:r w:rsidR="002E2D77">
        <w:rPr>
          <w:sz w:val="20"/>
        </w:rPr>
        <w:t>,</w:t>
      </w:r>
      <w:r w:rsidR="006C79F1">
        <w:rPr>
          <w:sz w:val="20"/>
        </w:rPr>
        <w:t xml:space="preserve"> with an approximate 90% reduction in global warming potential</w:t>
      </w:r>
      <w:r w:rsidRPr="00056FFE">
        <w:rPr>
          <w:sz w:val="20"/>
        </w:rPr>
        <w:t xml:space="preserve">.  </w:t>
      </w:r>
      <w:r w:rsidR="00F431F3" w:rsidRPr="00056FFE">
        <w:rPr>
          <w:sz w:val="20"/>
        </w:rPr>
        <w:t xml:space="preserve">HFA-152a is a gas at ambient temperature and pressure, has no intended or expected pharmacologic activity, and has been shown to be </w:t>
      </w:r>
      <w:r w:rsidR="00FD23E0">
        <w:rPr>
          <w:sz w:val="20"/>
        </w:rPr>
        <w:t xml:space="preserve">well tolerated and without adverse effects </w:t>
      </w:r>
      <w:r w:rsidR="00F431F3" w:rsidRPr="00056FFE">
        <w:rPr>
          <w:sz w:val="20"/>
        </w:rPr>
        <w:t xml:space="preserve">in </w:t>
      </w:r>
      <w:r w:rsidR="00FD23E0">
        <w:rPr>
          <w:sz w:val="20"/>
        </w:rPr>
        <w:t xml:space="preserve">a Phase 1 clinical study of HFA-152a </w:t>
      </w:r>
      <w:r w:rsidR="00F431F3" w:rsidRPr="00056FFE">
        <w:rPr>
          <w:sz w:val="20"/>
        </w:rPr>
        <w:t xml:space="preserve">administered </w:t>
      </w:r>
      <w:r w:rsidR="00F431F3" w:rsidRPr="00056FFE">
        <w:rPr>
          <w:i/>
          <w:iCs/>
          <w:sz w:val="20"/>
        </w:rPr>
        <w:t>via</w:t>
      </w:r>
      <w:r w:rsidR="00F431F3" w:rsidRPr="00056FFE">
        <w:rPr>
          <w:sz w:val="20"/>
        </w:rPr>
        <w:t xml:space="preserve"> a pMDI.  </w:t>
      </w:r>
      <w:r w:rsidRPr="00056FFE">
        <w:rPr>
          <w:sz w:val="20"/>
        </w:rPr>
        <w:t xml:space="preserve">In this paper, we summarize the results of a comprehensive nonclinical safety program </w:t>
      </w:r>
      <w:r w:rsidR="002E2D77">
        <w:rPr>
          <w:sz w:val="20"/>
        </w:rPr>
        <w:t>for</w:t>
      </w:r>
      <w:r w:rsidRPr="00056FFE">
        <w:rPr>
          <w:sz w:val="20"/>
        </w:rPr>
        <w:t xml:space="preserve"> </w:t>
      </w:r>
      <w:r w:rsidR="00866DC8" w:rsidRPr="00056FFE">
        <w:rPr>
          <w:sz w:val="20"/>
        </w:rPr>
        <w:t>HFA-152a</w:t>
      </w:r>
      <w:r w:rsidR="00323A0A" w:rsidRPr="00056FFE">
        <w:rPr>
          <w:sz w:val="20"/>
        </w:rPr>
        <w:t xml:space="preserve"> to support clinical use in pMDIs</w:t>
      </w:r>
      <w:r w:rsidR="00866DC8" w:rsidRPr="00056FFE">
        <w:rPr>
          <w:sz w:val="20"/>
        </w:rPr>
        <w:t>.</w:t>
      </w:r>
      <w:r w:rsidR="00F431F3" w:rsidRPr="00056FFE">
        <w:rPr>
          <w:sz w:val="20"/>
        </w:rPr>
        <w:t xml:space="preserve">  </w:t>
      </w:r>
      <w:r w:rsidR="001870AE" w:rsidRPr="00056FFE">
        <w:rPr>
          <w:sz w:val="20"/>
        </w:rPr>
        <w:t xml:space="preserve">The nonclinical </w:t>
      </w:r>
      <w:r w:rsidR="00210F4C" w:rsidRPr="00056FFE">
        <w:rPr>
          <w:sz w:val="20"/>
        </w:rPr>
        <w:t>safety</w:t>
      </w:r>
      <w:r w:rsidR="001870AE" w:rsidRPr="00056FFE">
        <w:rPr>
          <w:sz w:val="20"/>
        </w:rPr>
        <w:t xml:space="preserve"> program </w:t>
      </w:r>
      <w:r w:rsidR="00210F4C" w:rsidRPr="00056FFE">
        <w:rPr>
          <w:sz w:val="20"/>
        </w:rPr>
        <w:t>showed</w:t>
      </w:r>
      <w:r w:rsidR="001870AE" w:rsidRPr="00056FFE">
        <w:rPr>
          <w:sz w:val="20"/>
        </w:rPr>
        <w:t xml:space="preserve"> </w:t>
      </w:r>
      <w:r w:rsidR="00210F4C" w:rsidRPr="00056FFE">
        <w:rPr>
          <w:sz w:val="20"/>
        </w:rPr>
        <w:t xml:space="preserve">that </w:t>
      </w:r>
      <w:r w:rsidR="00022079" w:rsidRPr="00056FFE">
        <w:rPr>
          <w:sz w:val="20"/>
        </w:rPr>
        <w:t>medical</w:t>
      </w:r>
      <w:r w:rsidR="001870AE" w:rsidRPr="00056FFE">
        <w:rPr>
          <w:sz w:val="20"/>
        </w:rPr>
        <w:t>-grade HFA-152a</w:t>
      </w:r>
      <w:r w:rsidR="00E627B1" w:rsidRPr="00056FFE">
        <w:rPr>
          <w:sz w:val="20"/>
        </w:rPr>
        <w:t xml:space="preserve"> </w:t>
      </w:r>
      <w:r w:rsidR="000538BA" w:rsidRPr="00056FFE">
        <w:rPr>
          <w:sz w:val="20"/>
        </w:rPr>
        <w:t>caused no toxicity in mice, rats, or dogs, and no carcinogenicity in rats</w:t>
      </w:r>
      <w:r w:rsidR="000538BA">
        <w:rPr>
          <w:sz w:val="20"/>
        </w:rPr>
        <w:t xml:space="preserve"> </w:t>
      </w:r>
      <w:r w:rsidR="009E0939" w:rsidRPr="00056FFE">
        <w:rPr>
          <w:sz w:val="20"/>
        </w:rPr>
        <w:t xml:space="preserve">at delivered doses </w:t>
      </w:r>
      <w:r w:rsidR="000538BA">
        <w:rPr>
          <w:sz w:val="20"/>
        </w:rPr>
        <w:t>a minimum of</w:t>
      </w:r>
      <w:r w:rsidR="0053094B" w:rsidRPr="00056FFE">
        <w:rPr>
          <w:sz w:val="20"/>
        </w:rPr>
        <w:t xml:space="preserve"> 1</w:t>
      </w:r>
      <w:r w:rsidR="002F0B70" w:rsidRPr="00056FFE">
        <w:rPr>
          <w:sz w:val="20"/>
        </w:rPr>
        <w:t>8</w:t>
      </w:r>
      <w:r w:rsidR="0053094B" w:rsidRPr="00056FFE">
        <w:rPr>
          <w:sz w:val="20"/>
        </w:rPr>
        <w:t>00</w:t>
      </w:r>
      <w:r w:rsidR="000538BA">
        <w:rPr>
          <w:sz w:val="20"/>
        </w:rPr>
        <w:t xml:space="preserve"> times</w:t>
      </w:r>
      <w:r w:rsidR="009E0939" w:rsidRPr="00056FFE">
        <w:rPr>
          <w:sz w:val="20"/>
        </w:rPr>
        <w:t xml:space="preserve"> the anticipated </w:t>
      </w:r>
      <w:r w:rsidR="008D5FBC" w:rsidRPr="00056FFE">
        <w:rPr>
          <w:sz w:val="20"/>
        </w:rPr>
        <w:t xml:space="preserve">clinical </w:t>
      </w:r>
      <w:r w:rsidR="009E0939" w:rsidRPr="00056FFE">
        <w:rPr>
          <w:sz w:val="20"/>
        </w:rPr>
        <w:t xml:space="preserve">maximum </w:t>
      </w:r>
      <w:r w:rsidR="00323A0A" w:rsidRPr="00056FFE">
        <w:rPr>
          <w:sz w:val="20"/>
        </w:rPr>
        <w:t>daily exposure</w:t>
      </w:r>
      <w:r w:rsidR="009E0939" w:rsidRPr="00056FFE">
        <w:rPr>
          <w:sz w:val="20"/>
        </w:rPr>
        <w:t xml:space="preserve"> </w:t>
      </w:r>
      <w:r w:rsidR="0006036C" w:rsidRPr="00056FFE">
        <w:rPr>
          <w:sz w:val="20"/>
        </w:rPr>
        <w:t>(M</w:t>
      </w:r>
      <w:r w:rsidR="00323A0A" w:rsidRPr="00056FFE">
        <w:rPr>
          <w:sz w:val="20"/>
        </w:rPr>
        <w:t>DE</w:t>
      </w:r>
      <w:r w:rsidR="0006036C" w:rsidRPr="00056FFE">
        <w:rPr>
          <w:sz w:val="20"/>
        </w:rPr>
        <w:t>)</w:t>
      </w:r>
      <w:r w:rsidR="00011DBE">
        <w:rPr>
          <w:sz w:val="20"/>
        </w:rPr>
        <w:t xml:space="preserve"> for adults</w:t>
      </w:r>
      <w:r w:rsidR="0006036C" w:rsidRPr="00056FFE">
        <w:rPr>
          <w:sz w:val="20"/>
        </w:rPr>
        <w:t xml:space="preserve">.  HFA-152a caused </w:t>
      </w:r>
      <w:r w:rsidR="009E0939" w:rsidRPr="00056FFE">
        <w:rPr>
          <w:sz w:val="20"/>
        </w:rPr>
        <w:t xml:space="preserve">no </w:t>
      </w:r>
      <w:r w:rsidR="00210F4C" w:rsidRPr="00056FFE">
        <w:rPr>
          <w:sz w:val="20"/>
        </w:rPr>
        <w:t xml:space="preserve">developmental or reproductive toxicity </w:t>
      </w:r>
      <w:r w:rsidR="00D12133" w:rsidRPr="00056FFE">
        <w:rPr>
          <w:sz w:val="20"/>
        </w:rPr>
        <w:t>in rats</w:t>
      </w:r>
      <w:r w:rsidR="00B7616B">
        <w:rPr>
          <w:sz w:val="20"/>
        </w:rPr>
        <w:t xml:space="preserve"> or toxicity in juvenile rats</w:t>
      </w:r>
      <w:r w:rsidR="008A28BE">
        <w:rPr>
          <w:sz w:val="20"/>
        </w:rPr>
        <w:t xml:space="preserve"> at delivered doses greater than 2400 times the MDE</w:t>
      </w:r>
      <w:r w:rsidR="00210F4C" w:rsidRPr="00056FFE">
        <w:rPr>
          <w:sz w:val="20"/>
        </w:rPr>
        <w:t>.</w:t>
      </w:r>
      <w:r w:rsidR="0006036C" w:rsidRPr="00056FFE">
        <w:rPr>
          <w:sz w:val="20"/>
        </w:rPr>
        <w:t xml:space="preserve">  </w:t>
      </w:r>
      <w:r w:rsidR="00323A0A" w:rsidRPr="00056FFE">
        <w:rPr>
          <w:sz w:val="20"/>
        </w:rPr>
        <w:t>Furthermore, t</w:t>
      </w:r>
      <w:r w:rsidR="0006036C" w:rsidRPr="00056FFE">
        <w:rPr>
          <w:sz w:val="20"/>
        </w:rPr>
        <w:t xml:space="preserve">he results of specialized safety pharmacology studies showed </w:t>
      </w:r>
      <w:r w:rsidR="000538BA">
        <w:rPr>
          <w:sz w:val="20"/>
        </w:rPr>
        <w:t xml:space="preserve">that </w:t>
      </w:r>
      <w:r w:rsidR="00E627B1" w:rsidRPr="00056FFE">
        <w:rPr>
          <w:sz w:val="20"/>
        </w:rPr>
        <w:t xml:space="preserve">clinical use of </w:t>
      </w:r>
      <w:r w:rsidR="0006036C" w:rsidRPr="00056FFE">
        <w:rPr>
          <w:sz w:val="20"/>
        </w:rPr>
        <w:t>HFA-152a w</w:t>
      </w:r>
      <w:r w:rsidR="00D34763" w:rsidRPr="00056FFE">
        <w:rPr>
          <w:sz w:val="20"/>
        </w:rPr>
        <w:t>ould</w:t>
      </w:r>
      <w:r w:rsidR="0006036C" w:rsidRPr="00056FFE">
        <w:rPr>
          <w:sz w:val="20"/>
        </w:rPr>
        <w:t xml:space="preserve"> not </w:t>
      </w:r>
      <w:r w:rsidR="00E627B1" w:rsidRPr="00056FFE">
        <w:rPr>
          <w:sz w:val="20"/>
        </w:rPr>
        <w:t>p</w:t>
      </w:r>
      <w:r w:rsidR="004766D3" w:rsidRPr="00056FFE">
        <w:rPr>
          <w:sz w:val="20"/>
        </w:rPr>
        <w:t>ose</w:t>
      </w:r>
      <w:r w:rsidR="00D34763" w:rsidRPr="00056FFE">
        <w:rPr>
          <w:sz w:val="20"/>
        </w:rPr>
        <w:t xml:space="preserve"> </w:t>
      </w:r>
      <w:r w:rsidR="00E627B1" w:rsidRPr="00056FFE">
        <w:rPr>
          <w:sz w:val="20"/>
        </w:rPr>
        <w:t>a</w:t>
      </w:r>
      <w:r w:rsidR="00AD3ECC">
        <w:rPr>
          <w:sz w:val="20"/>
        </w:rPr>
        <w:t xml:space="preserve"> meaningful </w:t>
      </w:r>
      <w:r w:rsidR="00E627B1" w:rsidRPr="00056FFE">
        <w:rPr>
          <w:sz w:val="20"/>
        </w:rPr>
        <w:t xml:space="preserve">risk of </w:t>
      </w:r>
      <w:r w:rsidR="0006036C" w:rsidRPr="00056FFE">
        <w:rPr>
          <w:sz w:val="20"/>
        </w:rPr>
        <w:t xml:space="preserve">respiratory </w:t>
      </w:r>
      <w:r w:rsidR="00D34763" w:rsidRPr="00056FFE">
        <w:rPr>
          <w:sz w:val="20"/>
        </w:rPr>
        <w:t xml:space="preserve">sensitization </w:t>
      </w:r>
      <w:r w:rsidR="0006036C" w:rsidRPr="00056FFE">
        <w:rPr>
          <w:sz w:val="20"/>
        </w:rPr>
        <w:t>or cardiac sensitiz</w:t>
      </w:r>
      <w:r w:rsidR="00D34763" w:rsidRPr="00056FFE">
        <w:rPr>
          <w:sz w:val="20"/>
        </w:rPr>
        <w:t>ation</w:t>
      </w:r>
      <w:r w:rsidR="00D12133" w:rsidRPr="00056FFE">
        <w:rPr>
          <w:sz w:val="20"/>
        </w:rPr>
        <w:t xml:space="preserve">.  Lastly, the results of bacterial mutagenicity, in vitro micronucleus, and in vivo micronucleus assays did not show HFA-152a to be mutagenic or genotoxic.  Overall, the </w:t>
      </w:r>
      <w:r w:rsidR="000538BA">
        <w:rPr>
          <w:sz w:val="20"/>
        </w:rPr>
        <w:t xml:space="preserve">current </w:t>
      </w:r>
      <w:r w:rsidR="00D12133" w:rsidRPr="00056FFE">
        <w:rPr>
          <w:sz w:val="20"/>
        </w:rPr>
        <w:t xml:space="preserve">nonclinical safety program for </w:t>
      </w:r>
      <w:r w:rsidR="00022079" w:rsidRPr="00056FFE">
        <w:rPr>
          <w:sz w:val="20"/>
        </w:rPr>
        <w:t>medical</w:t>
      </w:r>
      <w:r w:rsidR="00D12133" w:rsidRPr="00056FFE">
        <w:rPr>
          <w:sz w:val="20"/>
        </w:rPr>
        <w:t>-grade HFA-152a support</w:t>
      </w:r>
      <w:r w:rsidR="00D34763" w:rsidRPr="00056FFE">
        <w:rPr>
          <w:sz w:val="20"/>
        </w:rPr>
        <w:t>s</w:t>
      </w:r>
      <w:r w:rsidR="00D12133" w:rsidRPr="00056FFE">
        <w:rPr>
          <w:sz w:val="20"/>
        </w:rPr>
        <w:t xml:space="preserve"> the safety of HFA-152a as a pMDI propellant for </w:t>
      </w:r>
      <w:r w:rsidR="00885E92" w:rsidRPr="00056FFE">
        <w:rPr>
          <w:sz w:val="20"/>
        </w:rPr>
        <w:t xml:space="preserve">inhaled </w:t>
      </w:r>
      <w:r w:rsidR="00D12133" w:rsidRPr="00056FFE">
        <w:rPr>
          <w:sz w:val="20"/>
        </w:rPr>
        <w:t xml:space="preserve">drugs intended for all patient populations and </w:t>
      </w:r>
      <w:r w:rsidR="0053094B" w:rsidRPr="00056FFE">
        <w:rPr>
          <w:sz w:val="20"/>
        </w:rPr>
        <w:t>chronic daily</w:t>
      </w:r>
      <w:r w:rsidR="00D12133" w:rsidRPr="00056FFE">
        <w:rPr>
          <w:sz w:val="20"/>
        </w:rPr>
        <w:t xml:space="preserve"> use</w:t>
      </w:r>
      <w:r w:rsidR="00972F32" w:rsidRPr="00056FFE">
        <w:rPr>
          <w:sz w:val="20"/>
        </w:rPr>
        <w:t>.</w:t>
      </w:r>
    </w:p>
    <w:p w14:paraId="57DCC0F1" w14:textId="77777777" w:rsidR="00E14DBF" w:rsidRPr="00056FFE" w:rsidRDefault="00E14DBF" w:rsidP="00D156FE">
      <w:pPr>
        <w:pStyle w:val="DDLBodyText"/>
        <w:rPr>
          <w:b/>
          <w:sz w:val="20"/>
        </w:rPr>
      </w:pPr>
      <w:r w:rsidRPr="00056FFE">
        <w:rPr>
          <w:b/>
          <w:sz w:val="20"/>
        </w:rPr>
        <w:t>Key Message</w:t>
      </w:r>
    </w:p>
    <w:p w14:paraId="60C298F5" w14:textId="1C17862B" w:rsidR="00972F32" w:rsidRPr="00056FFE" w:rsidRDefault="00972F32" w:rsidP="00E14DBF">
      <w:pPr>
        <w:pStyle w:val="DDLBodyText"/>
        <w:rPr>
          <w:rStyle w:val="Strong"/>
          <w:rFonts w:cs="Arial"/>
          <w:b w:val="0"/>
          <w:color w:val="333333"/>
          <w:sz w:val="20"/>
          <w:shd w:val="clear" w:color="auto" w:fill="FFFFFF"/>
        </w:rPr>
      </w:pPr>
      <w:r w:rsidRPr="00056FFE">
        <w:rPr>
          <w:sz w:val="20"/>
        </w:rPr>
        <w:t xml:space="preserve">The </w:t>
      </w:r>
      <w:r w:rsidR="000538BA">
        <w:rPr>
          <w:sz w:val="20"/>
        </w:rPr>
        <w:t xml:space="preserve">current </w:t>
      </w:r>
      <w:r w:rsidRPr="00056FFE">
        <w:rPr>
          <w:sz w:val="20"/>
        </w:rPr>
        <w:t xml:space="preserve">nonclinical safety program for </w:t>
      </w:r>
      <w:r w:rsidR="00022079" w:rsidRPr="00056FFE">
        <w:rPr>
          <w:sz w:val="20"/>
        </w:rPr>
        <w:t>medical</w:t>
      </w:r>
      <w:r w:rsidRPr="00056FFE">
        <w:rPr>
          <w:sz w:val="20"/>
        </w:rPr>
        <w:t>-grade HFA-152a support</w:t>
      </w:r>
      <w:r w:rsidR="00D34763" w:rsidRPr="00056FFE">
        <w:rPr>
          <w:sz w:val="20"/>
        </w:rPr>
        <w:t>s</w:t>
      </w:r>
      <w:r w:rsidRPr="00056FFE">
        <w:rPr>
          <w:sz w:val="20"/>
        </w:rPr>
        <w:t xml:space="preserve"> the safety of HFA-152a as a pMDI propellant for </w:t>
      </w:r>
      <w:r w:rsidR="00885E92" w:rsidRPr="00056FFE">
        <w:rPr>
          <w:sz w:val="20"/>
        </w:rPr>
        <w:t xml:space="preserve">inhaled </w:t>
      </w:r>
      <w:r w:rsidRPr="00056FFE">
        <w:rPr>
          <w:sz w:val="20"/>
        </w:rPr>
        <w:t>drugs intended for all patient populations and chronic daily use.</w:t>
      </w:r>
    </w:p>
    <w:p w14:paraId="57DCC0F3" w14:textId="77777777" w:rsidR="00C65A37" w:rsidRPr="00056FFE" w:rsidRDefault="00C65A37" w:rsidP="00D156FE">
      <w:pPr>
        <w:pStyle w:val="DDLHeading1"/>
        <w:rPr>
          <w:sz w:val="20"/>
          <w:szCs w:val="20"/>
        </w:rPr>
      </w:pPr>
      <w:r w:rsidRPr="00056FFE">
        <w:rPr>
          <w:sz w:val="20"/>
          <w:szCs w:val="20"/>
        </w:rPr>
        <w:t>Introduction</w:t>
      </w:r>
    </w:p>
    <w:p w14:paraId="73575737" w14:textId="05F005C5" w:rsidR="00D34763" w:rsidRPr="00056FFE" w:rsidRDefault="00DC21C8" w:rsidP="00476F1D">
      <w:pPr>
        <w:pStyle w:val="DDLBodyText"/>
        <w:rPr>
          <w:sz w:val="20"/>
        </w:rPr>
      </w:pPr>
      <w:r w:rsidRPr="00056FFE">
        <w:rPr>
          <w:sz w:val="20"/>
        </w:rPr>
        <w:t xml:space="preserve">Inhaled drugs provide </w:t>
      </w:r>
      <w:r w:rsidR="00DC5310" w:rsidRPr="00056FFE">
        <w:rPr>
          <w:sz w:val="20"/>
        </w:rPr>
        <w:t>treatment</w:t>
      </w:r>
      <w:r w:rsidR="00CC5803" w:rsidRPr="00056FFE">
        <w:rPr>
          <w:sz w:val="20"/>
        </w:rPr>
        <w:t>s</w:t>
      </w:r>
      <w:r w:rsidR="00DC5310" w:rsidRPr="00056FFE">
        <w:rPr>
          <w:sz w:val="20"/>
        </w:rPr>
        <w:t xml:space="preserve"> </w:t>
      </w:r>
      <w:r w:rsidR="00CC5803" w:rsidRPr="00056FFE">
        <w:rPr>
          <w:sz w:val="20"/>
        </w:rPr>
        <w:t>for</w:t>
      </w:r>
      <w:r w:rsidR="00DC5310" w:rsidRPr="00056FFE">
        <w:rPr>
          <w:sz w:val="20"/>
        </w:rPr>
        <w:t xml:space="preserve"> important respiratory conditions such as asthma and chronic obstructive pulmonary disease (COPD).  Delivery of inhaled drugs by pressurized metered dose inhalers (pMDIs) necessitate the us</w:t>
      </w:r>
      <w:r w:rsidR="00DC5310" w:rsidRPr="002E2D77">
        <w:rPr>
          <w:sz w:val="20"/>
        </w:rPr>
        <w:t>e of propellant</w:t>
      </w:r>
      <w:r w:rsidR="00476F1D" w:rsidRPr="002E2D77">
        <w:rPr>
          <w:sz w:val="20"/>
        </w:rPr>
        <w:t>s</w:t>
      </w:r>
      <w:r w:rsidR="00DC5310" w:rsidRPr="002E2D77">
        <w:rPr>
          <w:sz w:val="20"/>
        </w:rPr>
        <w:t xml:space="preserve"> that </w:t>
      </w:r>
      <w:r w:rsidR="00476F1D" w:rsidRPr="002E2D77">
        <w:rPr>
          <w:sz w:val="20"/>
        </w:rPr>
        <w:t>are</w:t>
      </w:r>
      <w:r w:rsidR="00D34763" w:rsidRPr="002E2D77">
        <w:rPr>
          <w:sz w:val="20"/>
        </w:rPr>
        <w:t xml:space="preserve"> not only</w:t>
      </w:r>
      <w:r w:rsidR="00DC5310" w:rsidRPr="002E2D77">
        <w:rPr>
          <w:sz w:val="20"/>
        </w:rPr>
        <w:t xml:space="preserve"> safe and well-tolerated by patients,</w:t>
      </w:r>
      <w:r w:rsidR="00D34763" w:rsidRPr="002E2D77">
        <w:rPr>
          <w:sz w:val="20"/>
        </w:rPr>
        <w:t xml:space="preserve"> but also</w:t>
      </w:r>
      <w:r w:rsidR="00DC5310" w:rsidRPr="002E2D77">
        <w:rPr>
          <w:sz w:val="20"/>
        </w:rPr>
        <w:t xml:space="preserve"> </w:t>
      </w:r>
      <w:r w:rsidR="00784498" w:rsidRPr="002E2D77">
        <w:rPr>
          <w:sz w:val="20"/>
        </w:rPr>
        <w:t xml:space="preserve">stable, </w:t>
      </w:r>
      <w:r w:rsidR="00476F1D" w:rsidRPr="002E2D77">
        <w:rPr>
          <w:sz w:val="20"/>
        </w:rPr>
        <w:t>c</w:t>
      </w:r>
      <w:r w:rsidR="00DC5310" w:rsidRPr="002E2D77">
        <w:rPr>
          <w:sz w:val="20"/>
        </w:rPr>
        <w:t>ompatible with</w:t>
      </w:r>
      <w:r w:rsidR="00DC320D" w:rsidRPr="002E2D77">
        <w:rPr>
          <w:sz w:val="20"/>
        </w:rPr>
        <w:t xml:space="preserve"> drugs</w:t>
      </w:r>
      <w:r w:rsidR="00CC5803" w:rsidRPr="002E2D77">
        <w:rPr>
          <w:sz w:val="20"/>
        </w:rPr>
        <w:t xml:space="preserve"> </w:t>
      </w:r>
      <w:r w:rsidR="00DC320D" w:rsidRPr="002E2D77">
        <w:rPr>
          <w:sz w:val="20"/>
        </w:rPr>
        <w:t>and</w:t>
      </w:r>
      <w:r w:rsidR="00CC5803" w:rsidRPr="002E2D77">
        <w:rPr>
          <w:sz w:val="20"/>
        </w:rPr>
        <w:t xml:space="preserve"> </w:t>
      </w:r>
      <w:r w:rsidR="00476F1D" w:rsidRPr="002E2D77">
        <w:rPr>
          <w:sz w:val="20"/>
        </w:rPr>
        <w:t>pMDI</w:t>
      </w:r>
      <w:r w:rsidR="00CC5803" w:rsidRPr="002E2D77">
        <w:rPr>
          <w:sz w:val="20"/>
        </w:rPr>
        <w:t xml:space="preserve"> components, and efficiently deliver drugs to the respiratory system</w:t>
      </w:r>
      <w:r w:rsidR="00476F1D" w:rsidRPr="002E2D77">
        <w:rPr>
          <w:sz w:val="20"/>
        </w:rPr>
        <w:t xml:space="preserve">.  1,1-Difluoroethane (HFA-152a) is being developed as a pMDI propellant and as a more environmentally sustainable alternative to current </w:t>
      </w:r>
      <w:r w:rsidR="00CC59B4" w:rsidRPr="002E2D77">
        <w:rPr>
          <w:sz w:val="20"/>
        </w:rPr>
        <w:t>HFA</w:t>
      </w:r>
      <w:r w:rsidR="00220A13" w:rsidRPr="002E2D77">
        <w:rPr>
          <w:sz w:val="20"/>
        </w:rPr>
        <w:t xml:space="preserve"> </w:t>
      </w:r>
      <w:r w:rsidR="00885E92" w:rsidRPr="002E2D77">
        <w:rPr>
          <w:sz w:val="20"/>
        </w:rPr>
        <w:t xml:space="preserve">pMDI </w:t>
      </w:r>
      <w:r w:rsidR="00476F1D" w:rsidRPr="002E2D77">
        <w:rPr>
          <w:sz w:val="20"/>
        </w:rPr>
        <w:t>propellants</w:t>
      </w:r>
      <w:r w:rsidR="00754CFC" w:rsidRPr="002E2D77">
        <w:rPr>
          <w:sz w:val="20"/>
        </w:rPr>
        <w:t xml:space="preserve"> with an approximate 90% reduction in global warming potential</w:t>
      </w:r>
      <w:r w:rsidR="00CB21B5" w:rsidRPr="002E2D77">
        <w:rPr>
          <w:sz w:val="20"/>
        </w:rPr>
        <w:t xml:space="preserve"> (GWP)</w:t>
      </w:r>
      <w:r w:rsidR="00476F1D" w:rsidRPr="002E2D77">
        <w:rPr>
          <w:sz w:val="20"/>
        </w:rPr>
        <w:t>.</w:t>
      </w:r>
      <w:r w:rsidR="009A78FA" w:rsidRPr="002E2D77">
        <w:rPr>
          <w:rStyle w:val="DDLReferenceSuperscript"/>
        </w:rPr>
        <w:t xml:space="preserve"> [</w:t>
      </w:r>
      <w:r w:rsidR="009A78FA" w:rsidRPr="002E2D77">
        <w:rPr>
          <w:rStyle w:val="DDLReferenceSuperscript"/>
        </w:rPr>
        <w:endnoteReference w:id="1"/>
      </w:r>
      <w:r w:rsidR="009A78FA" w:rsidRPr="002E2D77">
        <w:rPr>
          <w:rStyle w:val="DDLReferenceSuperscript"/>
        </w:rPr>
        <w:t>] [</w:t>
      </w:r>
      <w:r w:rsidR="009A78FA" w:rsidRPr="002E2D77">
        <w:rPr>
          <w:rStyle w:val="DDLReferenceSuperscript"/>
        </w:rPr>
        <w:endnoteReference w:id="2"/>
      </w:r>
      <w:r w:rsidR="009A78FA" w:rsidRPr="002E2D77">
        <w:rPr>
          <w:rStyle w:val="DDLReferenceSuperscript"/>
        </w:rPr>
        <w:t>]</w:t>
      </w:r>
      <w:r w:rsidR="00FC61E2">
        <w:rPr>
          <w:rStyle w:val="DDLReferenceSuperscript"/>
        </w:rPr>
        <w:t xml:space="preserve">  </w:t>
      </w:r>
      <w:r w:rsidR="00FC61E2" w:rsidRPr="002E2D77">
        <w:rPr>
          <w:sz w:val="20"/>
        </w:rPr>
        <w:t>With increasing regulatory and corporate demands to reduce emissions of potent greenhouse gases, replacing current high GWP propellants with HFA-152a would have a substantial environmental benefit during the production and patient use phases of the product life cycle.</w:t>
      </w:r>
      <w:r w:rsidR="00980CA5" w:rsidRPr="002E2D77">
        <w:rPr>
          <w:sz w:val="20"/>
        </w:rPr>
        <w:t xml:space="preserve">  </w:t>
      </w:r>
      <w:r w:rsidR="00DC320D" w:rsidRPr="002E2D77">
        <w:rPr>
          <w:sz w:val="20"/>
        </w:rPr>
        <w:t>HFA-152a is a gas at ambient temperature and pressure</w:t>
      </w:r>
      <w:r w:rsidR="00D34763" w:rsidRPr="002E2D77">
        <w:rPr>
          <w:sz w:val="20"/>
        </w:rPr>
        <w:t>.  As a pMDI propellant, HFA-152a</w:t>
      </w:r>
      <w:r w:rsidR="00DC320D" w:rsidRPr="002E2D77">
        <w:rPr>
          <w:sz w:val="20"/>
        </w:rPr>
        <w:t xml:space="preserve"> has no intended or expect</w:t>
      </w:r>
      <w:r w:rsidR="00DC320D" w:rsidRPr="00056FFE">
        <w:rPr>
          <w:sz w:val="20"/>
        </w:rPr>
        <w:t xml:space="preserve">ed pharmacologic activity and has been shown to be safe and without adverse organoleptic qualities in </w:t>
      </w:r>
      <w:r w:rsidR="00476F1D" w:rsidRPr="00056FFE">
        <w:rPr>
          <w:sz w:val="20"/>
        </w:rPr>
        <w:t>a Phase 1 clinical study in healthy male adults</w:t>
      </w:r>
      <w:r w:rsidR="00D525AC" w:rsidRPr="00056FFE">
        <w:rPr>
          <w:sz w:val="20"/>
        </w:rPr>
        <w:t>.</w:t>
      </w:r>
      <w:r w:rsidR="005D0012" w:rsidRPr="00056FFE">
        <w:rPr>
          <w:rStyle w:val="DDLReferenceSuperscript"/>
        </w:rPr>
        <w:t>[</w:t>
      </w:r>
      <w:r w:rsidR="005D0012" w:rsidRPr="00056FFE">
        <w:rPr>
          <w:rStyle w:val="DDLReferenceSuperscript"/>
        </w:rPr>
        <w:endnoteReference w:id="3"/>
      </w:r>
      <w:r w:rsidR="005D0012" w:rsidRPr="00056FFE">
        <w:rPr>
          <w:rStyle w:val="DDLReferenceSuperscript"/>
        </w:rPr>
        <w:t>]</w:t>
      </w:r>
    </w:p>
    <w:p w14:paraId="2D6C8CB8" w14:textId="6F1D7D13" w:rsidR="00476F1D" w:rsidRPr="00056FFE" w:rsidRDefault="00AC1795" w:rsidP="00476F1D">
      <w:pPr>
        <w:pStyle w:val="DDLBodyText"/>
        <w:rPr>
          <w:sz w:val="20"/>
        </w:rPr>
      </w:pPr>
      <w:r w:rsidRPr="00056FFE">
        <w:rPr>
          <w:sz w:val="20"/>
        </w:rPr>
        <w:t xml:space="preserve">In order to establish the safety of HFA-152a </w:t>
      </w:r>
      <w:r w:rsidR="00220A13" w:rsidRPr="00056FFE">
        <w:rPr>
          <w:sz w:val="20"/>
        </w:rPr>
        <w:t xml:space="preserve">as a pMDI propellant to deliver </w:t>
      </w:r>
      <w:r w:rsidR="00885E92" w:rsidRPr="00056FFE">
        <w:rPr>
          <w:sz w:val="20"/>
        </w:rPr>
        <w:t xml:space="preserve">inhaled </w:t>
      </w:r>
      <w:r w:rsidR="00220A13" w:rsidRPr="00056FFE">
        <w:rPr>
          <w:sz w:val="20"/>
        </w:rPr>
        <w:t>drugs used chronically and in all patient populations</w:t>
      </w:r>
      <w:r w:rsidRPr="00056FFE">
        <w:rPr>
          <w:sz w:val="20"/>
        </w:rPr>
        <w:t xml:space="preserve">, a comprehensive nonclinical safety program has been conducted.  </w:t>
      </w:r>
      <w:r w:rsidR="00A44308" w:rsidRPr="00056FFE">
        <w:rPr>
          <w:sz w:val="20"/>
        </w:rPr>
        <w:t xml:space="preserve">The objective of this </w:t>
      </w:r>
      <w:r w:rsidR="00CC5803" w:rsidRPr="00056FFE">
        <w:rPr>
          <w:sz w:val="20"/>
        </w:rPr>
        <w:t>paper is to</w:t>
      </w:r>
      <w:r w:rsidRPr="00056FFE">
        <w:rPr>
          <w:sz w:val="20"/>
        </w:rPr>
        <w:t xml:space="preserve"> </w:t>
      </w:r>
      <w:r w:rsidR="00DC320D" w:rsidRPr="00056FFE">
        <w:rPr>
          <w:sz w:val="20"/>
        </w:rPr>
        <w:t>provide an overview of</w:t>
      </w:r>
      <w:r w:rsidRPr="00056FFE">
        <w:rPr>
          <w:sz w:val="20"/>
        </w:rPr>
        <w:t xml:space="preserve"> the </w:t>
      </w:r>
      <w:r w:rsidR="00DC320D" w:rsidRPr="00056FFE">
        <w:rPr>
          <w:sz w:val="20"/>
        </w:rPr>
        <w:t xml:space="preserve">content and findings of the </w:t>
      </w:r>
      <w:r w:rsidR="00CC5803" w:rsidRPr="00056FFE">
        <w:rPr>
          <w:sz w:val="20"/>
        </w:rPr>
        <w:t xml:space="preserve">current nonclinical safety </w:t>
      </w:r>
      <w:r w:rsidRPr="00056FFE">
        <w:rPr>
          <w:sz w:val="20"/>
        </w:rPr>
        <w:t>program</w:t>
      </w:r>
      <w:r w:rsidR="00CC5803" w:rsidRPr="00056FFE">
        <w:rPr>
          <w:sz w:val="20"/>
        </w:rPr>
        <w:t xml:space="preserve"> for</w:t>
      </w:r>
      <w:r w:rsidR="00C72DD4" w:rsidRPr="00056FFE">
        <w:rPr>
          <w:sz w:val="20"/>
        </w:rPr>
        <w:t xml:space="preserve"> </w:t>
      </w:r>
      <w:r w:rsidR="00022079" w:rsidRPr="00056FFE">
        <w:rPr>
          <w:sz w:val="20"/>
        </w:rPr>
        <w:t>medical</w:t>
      </w:r>
      <w:r w:rsidR="00C72DD4" w:rsidRPr="00056FFE">
        <w:rPr>
          <w:sz w:val="20"/>
        </w:rPr>
        <w:t>-grade</w:t>
      </w:r>
      <w:r w:rsidR="00CC5803" w:rsidRPr="00056FFE">
        <w:rPr>
          <w:sz w:val="20"/>
        </w:rPr>
        <w:t xml:space="preserve"> HFA-152a</w:t>
      </w:r>
      <w:r w:rsidR="00885E92" w:rsidRPr="00056FFE">
        <w:rPr>
          <w:sz w:val="20"/>
        </w:rPr>
        <w:t>.</w:t>
      </w:r>
      <w:r w:rsidR="00C72DD4" w:rsidRPr="00056FFE">
        <w:rPr>
          <w:sz w:val="20"/>
        </w:rPr>
        <w:t xml:space="preserve"> </w:t>
      </w:r>
    </w:p>
    <w:p w14:paraId="33A32DAF" w14:textId="1F0DFB5B" w:rsidR="00022079" w:rsidRPr="00056FFE" w:rsidRDefault="00C72DD4" w:rsidP="00872C1A">
      <w:pPr>
        <w:pStyle w:val="DDLHeading1"/>
      </w:pPr>
      <w:r w:rsidRPr="00056FFE">
        <w:t>Experimental Methods</w:t>
      </w:r>
    </w:p>
    <w:p w14:paraId="535B84AF" w14:textId="4014E055" w:rsidR="00A06192" w:rsidRPr="00056FFE" w:rsidRDefault="00A06192" w:rsidP="00872C1A">
      <w:pPr>
        <w:pStyle w:val="DDLBodyText"/>
        <w:rPr>
          <w:b/>
          <w:bCs/>
          <w:i/>
          <w:iCs/>
          <w:sz w:val="20"/>
        </w:rPr>
      </w:pPr>
      <w:r w:rsidRPr="00056FFE">
        <w:rPr>
          <w:b/>
          <w:bCs/>
          <w:i/>
          <w:iCs/>
          <w:sz w:val="20"/>
        </w:rPr>
        <w:t>Chemicals</w:t>
      </w:r>
    </w:p>
    <w:p w14:paraId="32BBDD78" w14:textId="76F58058" w:rsidR="00A06192" w:rsidRPr="00056FFE" w:rsidRDefault="00A06192" w:rsidP="00A0358B">
      <w:pPr>
        <w:pStyle w:val="DDLBodyText"/>
        <w:rPr>
          <w:sz w:val="20"/>
        </w:rPr>
      </w:pPr>
      <w:r w:rsidRPr="00056FFE">
        <w:rPr>
          <w:sz w:val="20"/>
        </w:rPr>
        <w:t xml:space="preserve">HFA-152a was manufactured by Mexichem </w:t>
      </w:r>
      <w:r w:rsidR="007661C6">
        <w:rPr>
          <w:sz w:val="20"/>
        </w:rPr>
        <w:t>UK</w:t>
      </w:r>
      <w:r w:rsidRPr="00056FFE">
        <w:rPr>
          <w:sz w:val="20"/>
        </w:rPr>
        <w:t xml:space="preserve"> Ltd</w:t>
      </w:r>
      <w:r w:rsidR="007661C6">
        <w:rPr>
          <w:sz w:val="20"/>
        </w:rPr>
        <w:t xml:space="preserve"> (Koura)</w:t>
      </w:r>
      <w:r w:rsidRPr="00056FFE">
        <w:rPr>
          <w:sz w:val="20"/>
        </w:rPr>
        <w:t xml:space="preserve"> to ≥ 99.99% purity and medical-grade specification </w:t>
      </w:r>
      <w:r w:rsidR="008015BF" w:rsidRPr="00056FFE">
        <w:rPr>
          <w:sz w:val="20"/>
        </w:rPr>
        <w:t>consistent with that for 1,1,1,2-tetrafluoroethane (HFA-134a)</w:t>
      </w:r>
      <w:r w:rsidRPr="00056FFE">
        <w:rPr>
          <w:sz w:val="20"/>
        </w:rPr>
        <w:t>.</w:t>
      </w:r>
      <w:r w:rsidR="005D0012" w:rsidRPr="00056FFE">
        <w:rPr>
          <w:rStyle w:val="DDLReferenceSuperscript"/>
        </w:rPr>
        <w:t>[</w:t>
      </w:r>
      <w:r w:rsidR="005D0012" w:rsidRPr="00056FFE">
        <w:rPr>
          <w:rStyle w:val="DDLReferenceSuperscript"/>
        </w:rPr>
        <w:endnoteReference w:id="4"/>
      </w:r>
      <w:r w:rsidR="005D0012" w:rsidRPr="00056FFE">
        <w:rPr>
          <w:rStyle w:val="DDLReferenceSuperscript"/>
        </w:rPr>
        <w:t>]</w:t>
      </w:r>
      <w:r w:rsidRPr="00056FFE">
        <w:rPr>
          <w:sz w:val="20"/>
        </w:rPr>
        <w:t xml:space="preserve">  For all studies, HFA-152a was supplied in cylinders as a liquefied compressed gas and verified for stability.  Filtered room air was used as the negative vehicle control.</w:t>
      </w:r>
    </w:p>
    <w:p w14:paraId="3C0E88FB" w14:textId="77777777" w:rsidR="00A06192" w:rsidRPr="00056FFE" w:rsidRDefault="00A06192" w:rsidP="00872C1A">
      <w:pPr>
        <w:pStyle w:val="DDLBodyText"/>
        <w:rPr>
          <w:b/>
          <w:bCs/>
          <w:i/>
          <w:iCs/>
          <w:sz w:val="20"/>
        </w:rPr>
      </w:pPr>
      <w:r w:rsidRPr="00056FFE">
        <w:rPr>
          <w:b/>
          <w:bCs/>
          <w:i/>
          <w:iCs/>
          <w:sz w:val="20"/>
        </w:rPr>
        <w:t>Cell Lines</w:t>
      </w:r>
    </w:p>
    <w:p w14:paraId="18CF4C16" w14:textId="26A0342A" w:rsidR="00A06192" w:rsidRPr="00056FFE" w:rsidRDefault="00A06192" w:rsidP="00C42954">
      <w:pPr>
        <w:pStyle w:val="DDLBodyText"/>
        <w:spacing w:before="240"/>
        <w:rPr>
          <w:sz w:val="20"/>
        </w:rPr>
      </w:pPr>
      <w:r w:rsidRPr="00056FFE">
        <w:rPr>
          <w:sz w:val="20"/>
        </w:rPr>
        <w:lastRenderedPageBreak/>
        <w:t xml:space="preserve">For the </w:t>
      </w:r>
      <w:r w:rsidRPr="00056FFE">
        <w:rPr>
          <w:i/>
          <w:sz w:val="20"/>
        </w:rPr>
        <w:t>in vitro</w:t>
      </w:r>
      <w:r w:rsidRPr="00056FFE">
        <w:rPr>
          <w:sz w:val="20"/>
        </w:rPr>
        <w:t xml:space="preserve"> bacterial mutagenicity assay, four </w:t>
      </w:r>
      <w:r w:rsidRPr="00056FFE">
        <w:rPr>
          <w:i/>
          <w:sz w:val="20"/>
        </w:rPr>
        <w:t>Salmonella typhimurium</w:t>
      </w:r>
      <w:r w:rsidRPr="00056FFE">
        <w:rPr>
          <w:sz w:val="20"/>
        </w:rPr>
        <w:t xml:space="preserve"> strains (TA1535, TA97a, TA98, and TA100)</w:t>
      </w:r>
      <w:r w:rsidRPr="0067497E">
        <w:rPr>
          <w:sz w:val="20"/>
        </w:rPr>
        <w:t xml:space="preserve"> and </w:t>
      </w:r>
      <w:r w:rsidRPr="0067497E">
        <w:rPr>
          <w:i/>
          <w:sz w:val="20"/>
        </w:rPr>
        <w:t>Escherichia</w:t>
      </w:r>
      <w:r w:rsidR="00885E92" w:rsidRPr="0067497E">
        <w:rPr>
          <w:i/>
          <w:sz w:val="20"/>
        </w:rPr>
        <w:t xml:space="preserve"> co</w:t>
      </w:r>
      <w:r w:rsidR="00BE25F1" w:rsidRPr="0067497E">
        <w:rPr>
          <w:i/>
          <w:sz w:val="20"/>
        </w:rPr>
        <w:t>l</w:t>
      </w:r>
      <w:r w:rsidR="00885E92" w:rsidRPr="0067497E">
        <w:rPr>
          <w:i/>
          <w:sz w:val="20"/>
        </w:rPr>
        <w:t>i</w:t>
      </w:r>
      <w:r w:rsidRPr="0067497E">
        <w:rPr>
          <w:sz w:val="20"/>
        </w:rPr>
        <w:t xml:space="preserve"> WP2 were used.  For the </w:t>
      </w:r>
      <w:r w:rsidRPr="0067497E">
        <w:rPr>
          <w:i/>
          <w:sz w:val="20"/>
        </w:rPr>
        <w:t>in vitro</w:t>
      </w:r>
      <w:r w:rsidRPr="0067497E">
        <w:rPr>
          <w:sz w:val="20"/>
        </w:rPr>
        <w:t xml:space="preserve"> mi</w:t>
      </w:r>
      <w:r w:rsidRPr="0067497E">
        <w:rPr>
          <w:rFonts w:cs="Arial"/>
          <w:sz w:val="20"/>
        </w:rPr>
        <w:t xml:space="preserve">cronucleus test, </w:t>
      </w:r>
      <w:r w:rsidR="00524DC8" w:rsidRPr="0067497E">
        <w:rPr>
          <w:rFonts w:cs="Arial"/>
          <w:sz w:val="20"/>
        </w:rPr>
        <w:t xml:space="preserve">cells from a </w:t>
      </w:r>
      <w:r w:rsidR="00524DC8" w:rsidRPr="0067497E">
        <w:rPr>
          <w:rFonts w:cs="Arial"/>
          <w:sz w:val="20"/>
          <w:shd w:val="clear" w:color="auto" w:fill="FFFFFF"/>
        </w:rPr>
        <w:t>human alveolar basal epithelial cell line</w:t>
      </w:r>
      <w:r w:rsidR="00C42954" w:rsidRPr="0067497E">
        <w:rPr>
          <w:rFonts w:cs="Arial"/>
          <w:sz w:val="20"/>
        </w:rPr>
        <w:t xml:space="preserve"> (</w:t>
      </w:r>
      <w:r w:rsidRPr="0067497E">
        <w:rPr>
          <w:rFonts w:cs="Arial"/>
          <w:sz w:val="20"/>
        </w:rPr>
        <w:t>A549</w:t>
      </w:r>
      <w:r w:rsidR="00524DC8" w:rsidRPr="0067497E">
        <w:rPr>
          <w:rFonts w:cs="Arial"/>
          <w:sz w:val="20"/>
        </w:rPr>
        <w:t xml:space="preserve">, </w:t>
      </w:r>
      <w:r w:rsidRPr="002E2D77">
        <w:rPr>
          <w:rFonts w:cs="Arial"/>
          <w:sz w:val="20"/>
        </w:rPr>
        <w:t xml:space="preserve">ACCT# CCL-185) </w:t>
      </w:r>
      <w:r w:rsidR="00524DC8" w:rsidRPr="002E2D77">
        <w:rPr>
          <w:rFonts w:cs="Arial"/>
          <w:sz w:val="20"/>
        </w:rPr>
        <w:t>were</w:t>
      </w:r>
      <w:r w:rsidRPr="002E2D77">
        <w:rPr>
          <w:rFonts w:cs="Arial"/>
          <w:sz w:val="20"/>
        </w:rPr>
        <w:t xml:space="preserve"> use</w:t>
      </w:r>
      <w:r w:rsidRPr="002E2D77">
        <w:rPr>
          <w:sz w:val="20"/>
        </w:rPr>
        <w:t>d.</w:t>
      </w:r>
    </w:p>
    <w:p w14:paraId="51B41CC7" w14:textId="77777777" w:rsidR="00A06192" w:rsidRPr="00056FFE" w:rsidRDefault="00A06192" w:rsidP="00872C1A">
      <w:pPr>
        <w:pStyle w:val="DDLBodyText"/>
        <w:rPr>
          <w:b/>
          <w:bCs/>
          <w:i/>
          <w:iCs/>
          <w:sz w:val="20"/>
        </w:rPr>
      </w:pPr>
      <w:r w:rsidRPr="00056FFE">
        <w:rPr>
          <w:b/>
          <w:bCs/>
          <w:i/>
          <w:iCs/>
          <w:sz w:val="20"/>
        </w:rPr>
        <w:t>Animals</w:t>
      </w:r>
    </w:p>
    <w:p w14:paraId="6426C77F" w14:textId="0BA91912" w:rsidR="00C72DD4" w:rsidRPr="00056FFE" w:rsidRDefault="00A06192" w:rsidP="00A06192">
      <w:pPr>
        <w:pStyle w:val="DDLBodyText"/>
        <w:rPr>
          <w:sz w:val="20"/>
        </w:rPr>
      </w:pPr>
      <w:r w:rsidRPr="00056FFE">
        <w:rPr>
          <w:sz w:val="20"/>
        </w:rPr>
        <w:t xml:space="preserve">All experiments </w:t>
      </w:r>
      <w:r w:rsidR="00AD48E3" w:rsidRPr="00056FFE">
        <w:rPr>
          <w:sz w:val="20"/>
        </w:rPr>
        <w:t xml:space="preserve">involving animals </w:t>
      </w:r>
      <w:r w:rsidRPr="00056FFE">
        <w:rPr>
          <w:sz w:val="20"/>
        </w:rPr>
        <w:t>were conducted with approva</w:t>
      </w:r>
      <w:r w:rsidRPr="002E2D77">
        <w:rPr>
          <w:sz w:val="20"/>
        </w:rPr>
        <w:t xml:space="preserve">l by </w:t>
      </w:r>
      <w:r w:rsidR="00C42954" w:rsidRPr="002E2D77">
        <w:rPr>
          <w:sz w:val="20"/>
        </w:rPr>
        <w:t xml:space="preserve">an </w:t>
      </w:r>
      <w:r w:rsidRPr="002E2D77">
        <w:rPr>
          <w:sz w:val="20"/>
        </w:rPr>
        <w:t>Inst</w:t>
      </w:r>
      <w:r w:rsidRPr="00056FFE">
        <w:rPr>
          <w:sz w:val="20"/>
        </w:rPr>
        <w:t>itutional Animal Care and Use Committee (IACUC) and complied with all applicable sections of the Final Rules of the Animal Welfare Act regulations.</w:t>
      </w:r>
      <w:r w:rsidR="00AD48E3" w:rsidRPr="00056FFE">
        <w:rPr>
          <w:sz w:val="20"/>
        </w:rPr>
        <w:t xml:space="preserve">  </w:t>
      </w:r>
      <w:r w:rsidR="008015BF" w:rsidRPr="00056FFE">
        <w:rPr>
          <w:sz w:val="20"/>
        </w:rPr>
        <w:t xml:space="preserve">Commercially available </w:t>
      </w:r>
      <w:r w:rsidR="00AD48E3" w:rsidRPr="00056FFE">
        <w:rPr>
          <w:sz w:val="20"/>
        </w:rPr>
        <w:t>B6C3F1 mice, Sprague Dawley rats,</w:t>
      </w:r>
      <w:r w:rsidR="00056FFE" w:rsidRPr="00056FFE">
        <w:rPr>
          <w:sz w:val="20"/>
        </w:rPr>
        <w:t xml:space="preserve"> </w:t>
      </w:r>
      <w:r w:rsidR="00BF7AAD" w:rsidRPr="00056FFE">
        <w:rPr>
          <w:sz w:val="20"/>
        </w:rPr>
        <w:t>Dunkin-</w:t>
      </w:r>
      <w:r w:rsidR="00AD48E3" w:rsidRPr="00056FFE">
        <w:rPr>
          <w:sz w:val="20"/>
        </w:rPr>
        <w:t>Hartley guinea pigs, and beagle dogs were used</w:t>
      </w:r>
      <w:r w:rsidR="008015BF" w:rsidRPr="00056FFE">
        <w:rPr>
          <w:sz w:val="20"/>
        </w:rPr>
        <w:t xml:space="preserve"> for all studies except for the study o</w:t>
      </w:r>
      <w:r w:rsidR="00022079" w:rsidRPr="00056FFE">
        <w:rPr>
          <w:sz w:val="20"/>
        </w:rPr>
        <w:t>f</w:t>
      </w:r>
      <w:r w:rsidR="008015BF" w:rsidRPr="00056FFE">
        <w:rPr>
          <w:sz w:val="20"/>
        </w:rPr>
        <w:t xml:space="preserve"> respiratory sensitization in dogs.  In </w:t>
      </w:r>
      <w:r w:rsidR="00CB21B5" w:rsidRPr="00056FFE">
        <w:rPr>
          <w:sz w:val="20"/>
        </w:rPr>
        <w:t>th</w:t>
      </w:r>
      <w:r w:rsidR="00CB21B5">
        <w:rPr>
          <w:sz w:val="20"/>
        </w:rPr>
        <w:t>e latter</w:t>
      </w:r>
      <w:r w:rsidR="00CB21B5" w:rsidRPr="00056FFE">
        <w:rPr>
          <w:sz w:val="20"/>
        </w:rPr>
        <w:t xml:space="preserve"> </w:t>
      </w:r>
      <w:r w:rsidR="008015BF" w:rsidRPr="00056FFE">
        <w:rPr>
          <w:sz w:val="20"/>
        </w:rPr>
        <w:t xml:space="preserve">study, </w:t>
      </w:r>
      <w:r w:rsidR="00CB21B5">
        <w:rPr>
          <w:sz w:val="20"/>
        </w:rPr>
        <w:t xml:space="preserve">beagle </w:t>
      </w:r>
      <w:r w:rsidR="008015BF" w:rsidRPr="00056FFE">
        <w:rPr>
          <w:sz w:val="20"/>
        </w:rPr>
        <w:t xml:space="preserve">dogs </w:t>
      </w:r>
      <w:r w:rsidR="00CB21B5">
        <w:rPr>
          <w:sz w:val="20"/>
        </w:rPr>
        <w:t xml:space="preserve">previously sensitized to ragweed </w:t>
      </w:r>
      <w:r w:rsidR="008015BF" w:rsidRPr="00056FFE">
        <w:rPr>
          <w:sz w:val="20"/>
        </w:rPr>
        <w:t>were obtained from Lovelace Biomedical</w:t>
      </w:r>
      <w:r w:rsidR="00BF7AAD" w:rsidRPr="00056FFE">
        <w:rPr>
          <w:sz w:val="20"/>
        </w:rPr>
        <w:t>.</w:t>
      </w:r>
    </w:p>
    <w:p w14:paraId="4CFAE1BE" w14:textId="77777777" w:rsidR="00A06192" w:rsidRPr="00056FFE" w:rsidRDefault="00A06192" w:rsidP="00872C1A">
      <w:pPr>
        <w:pStyle w:val="DDLBodyText"/>
        <w:rPr>
          <w:b/>
          <w:bCs/>
          <w:i/>
          <w:iCs/>
          <w:sz w:val="20"/>
        </w:rPr>
      </w:pPr>
      <w:r w:rsidRPr="00056FFE">
        <w:rPr>
          <w:b/>
          <w:bCs/>
          <w:i/>
          <w:iCs/>
          <w:sz w:val="20"/>
        </w:rPr>
        <w:t>Exposure and Dose Estimation</w:t>
      </w:r>
    </w:p>
    <w:p w14:paraId="6EC66C90" w14:textId="1AF14313" w:rsidR="00A06192" w:rsidRPr="00056FFE" w:rsidRDefault="00A06192" w:rsidP="00A06192">
      <w:pPr>
        <w:pStyle w:val="DDLBodyText"/>
        <w:rPr>
          <w:sz w:val="20"/>
        </w:rPr>
      </w:pPr>
      <w:r w:rsidRPr="00056FFE">
        <w:rPr>
          <w:sz w:val="20"/>
        </w:rPr>
        <w:t xml:space="preserve">For </w:t>
      </w:r>
      <w:r w:rsidR="00BF7AAD" w:rsidRPr="00056FFE">
        <w:rPr>
          <w:sz w:val="20"/>
        </w:rPr>
        <w:t>most</w:t>
      </w:r>
      <w:r w:rsidRPr="00056FFE">
        <w:rPr>
          <w:sz w:val="20"/>
        </w:rPr>
        <w:t xml:space="preserve"> studies, HFA-152a concentrations were monitored in real-time using a total hydrocarbon analy</w:t>
      </w:r>
      <w:r w:rsidR="00056FFE" w:rsidRPr="00056FFE">
        <w:rPr>
          <w:sz w:val="20"/>
        </w:rPr>
        <w:t>s</w:t>
      </w:r>
      <w:r w:rsidRPr="00056FFE">
        <w:rPr>
          <w:sz w:val="20"/>
        </w:rPr>
        <w:t xml:space="preserve">er </w:t>
      </w:r>
      <w:r w:rsidR="00526B3B" w:rsidRPr="00056FFE">
        <w:rPr>
          <w:sz w:val="20"/>
        </w:rPr>
        <w:t>and subsequently verified</w:t>
      </w:r>
      <w:r w:rsidR="005D7A91" w:rsidRPr="00056FFE">
        <w:rPr>
          <w:sz w:val="20"/>
        </w:rPr>
        <w:t xml:space="preserve"> </w:t>
      </w:r>
      <w:r w:rsidR="00CB21B5">
        <w:rPr>
          <w:sz w:val="20"/>
        </w:rPr>
        <w:t>with a</w:t>
      </w:r>
      <w:r w:rsidR="00CB21B5" w:rsidRPr="00056FFE">
        <w:rPr>
          <w:sz w:val="20"/>
        </w:rPr>
        <w:t xml:space="preserve"> </w:t>
      </w:r>
      <w:r w:rsidRPr="00056FFE">
        <w:rPr>
          <w:sz w:val="20"/>
        </w:rPr>
        <w:t xml:space="preserve">gas-chromatograph coupled to a flame ionization detector (GC-FID).  </w:t>
      </w:r>
      <w:r w:rsidR="00526B3B" w:rsidRPr="00056FFE">
        <w:rPr>
          <w:i/>
          <w:sz w:val="20"/>
        </w:rPr>
        <w:t>In vitro</w:t>
      </w:r>
      <w:r w:rsidR="00526B3B" w:rsidRPr="00056FFE">
        <w:rPr>
          <w:sz w:val="20"/>
        </w:rPr>
        <w:t xml:space="preserve"> </w:t>
      </w:r>
      <w:r w:rsidRPr="00056FFE">
        <w:rPr>
          <w:sz w:val="20"/>
        </w:rPr>
        <w:t xml:space="preserve">exposures were conducted in a custom-built chamber at ambient temperature.  For </w:t>
      </w:r>
      <w:r w:rsidR="00526B3B" w:rsidRPr="00056FFE">
        <w:rPr>
          <w:i/>
          <w:sz w:val="20"/>
        </w:rPr>
        <w:t>in vivo</w:t>
      </w:r>
      <w:r w:rsidR="00526B3B" w:rsidRPr="00056FFE">
        <w:rPr>
          <w:sz w:val="20"/>
        </w:rPr>
        <w:t xml:space="preserve"> </w:t>
      </w:r>
      <w:r w:rsidRPr="00056FFE">
        <w:rPr>
          <w:sz w:val="20"/>
        </w:rPr>
        <w:t xml:space="preserve">studies, </w:t>
      </w:r>
      <w:r w:rsidR="005D7A91" w:rsidRPr="00056FFE">
        <w:rPr>
          <w:sz w:val="20"/>
        </w:rPr>
        <w:t xml:space="preserve">HFA-152a was administered nose-only (rodents) or snout-only (dog) with </w:t>
      </w:r>
      <w:r w:rsidRPr="00056FFE">
        <w:rPr>
          <w:sz w:val="20"/>
        </w:rPr>
        <w:t xml:space="preserve">individual animal delivered pulmonary dose </w:t>
      </w:r>
      <w:r w:rsidR="005D7A91" w:rsidRPr="00056FFE">
        <w:rPr>
          <w:sz w:val="20"/>
        </w:rPr>
        <w:t>estimated</w:t>
      </w:r>
      <w:r w:rsidRPr="00056FFE">
        <w:rPr>
          <w:sz w:val="20"/>
        </w:rPr>
        <w:t xml:space="preserve"> </w:t>
      </w:r>
      <w:r w:rsidR="00187060" w:rsidRPr="00056FFE">
        <w:rPr>
          <w:sz w:val="20"/>
        </w:rPr>
        <w:t>from the exposure concentration</w:t>
      </w:r>
      <w:r w:rsidR="00A82FA6" w:rsidRPr="00056FFE">
        <w:rPr>
          <w:sz w:val="20"/>
        </w:rPr>
        <w:t>,</w:t>
      </w:r>
      <w:r w:rsidR="00187060" w:rsidRPr="00056FFE">
        <w:rPr>
          <w:sz w:val="20"/>
        </w:rPr>
        <w:t xml:space="preserve"> </w:t>
      </w:r>
      <w:r w:rsidR="00526B3B" w:rsidRPr="00056FFE">
        <w:rPr>
          <w:sz w:val="20"/>
        </w:rPr>
        <w:t xml:space="preserve">average </w:t>
      </w:r>
      <w:r w:rsidR="00187060" w:rsidRPr="00056FFE">
        <w:rPr>
          <w:sz w:val="20"/>
        </w:rPr>
        <w:t>animal body weight</w:t>
      </w:r>
      <w:r w:rsidR="00A82FA6" w:rsidRPr="00056FFE">
        <w:rPr>
          <w:sz w:val="20"/>
        </w:rPr>
        <w:t>, and assumed 100% deposition.</w:t>
      </w:r>
      <w:r w:rsidR="005D0012" w:rsidRPr="00056FFE">
        <w:rPr>
          <w:rStyle w:val="DDLReferenceSuperscript"/>
        </w:rPr>
        <w:t>[</w:t>
      </w:r>
      <w:r w:rsidR="005D0012" w:rsidRPr="00056FFE">
        <w:rPr>
          <w:rStyle w:val="DDLReferenceSuperscript"/>
        </w:rPr>
        <w:endnoteReference w:id="5"/>
      </w:r>
      <w:r w:rsidR="005D0012" w:rsidRPr="00056FFE">
        <w:rPr>
          <w:rStyle w:val="DDLReferenceSuperscript"/>
        </w:rPr>
        <w:t>]</w:t>
      </w:r>
    </w:p>
    <w:p w14:paraId="1DBA1B56" w14:textId="7A316AF6" w:rsidR="00B63366" w:rsidRPr="00056FFE" w:rsidRDefault="00B63366" w:rsidP="00872C1A">
      <w:pPr>
        <w:pStyle w:val="DDLBodyText"/>
        <w:rPr>
          <w:b/>
          <w:bCs/>
          <w:i/>
          <w:iCs/>
          <w:sz w:val="20"/>
        </w:rPr>
      </w:pPr>
      <w:r w:rsidRPr="00056FFE">
        <w:rPr>
          <w:b/>
          <w:bCs/>
          <w:i/>
          <w:iCs/>
          <w:sz w:val="20"/>
        </w:rPr>
        <w:t>Toxic</w:t>
      </w:r>
      <w:r w:rsidR="001465FD" w:rsidRPr="00056FFE">
        <w:rPr>
          <w:b/>
          <w:bCs/>
          <w:i/>
          <w:iCs/>
          <w:sz w:val="20"/>
        </w:rPr>
        <w:t>ological</w:t>
      </w:r>
      <w:r w:rsidRPr="00056FFE">
        <w:rPr>
          <w:b/>
          <w:bCs/>
          <w:i/>
          <w:iCs/>
          <w:sz w:val="20"/>
        </w:rPr>
        <w:t xml:space="preserve"> Assessments</w:t>
      </w:r>
    </w:p>
    <w:p w14:paraId="3525CF5F" w14:textId="4941E768" w:rsidR="00B63366" w:rsidRPr="00056FFE" w:rsidRDefault="00EE0754" w:rsidP="00A06192">
      <w:pPr>
        <w:pStyle w:val="DDLBodyText"/>
        <w:rPr>
          <w:sz w:val="20"/>
        </w:rPr>
      </w:pPr>
      <w:r w:rsidRPr="00056FFE">
        <w:rPr>
          <w:sz w:val="20"/>
        </w:rPr>
        <w:t>For</w:t>
      </w:r>
      <w:r w:rsidR="00083081" w:rsidRPr="00056FFE">
        <w:rPr>
          <w:sz w:val="20"/>
        </w:rPr>
        <w:t xml:space="preserve"> </w:t>
      </w:r>
      <w:r w:rsidRPr="00056FFE">
        <w:rPr>
          <w:sz w:val="20"/>
        </w:rPr>
        <w:t>conventional</w:t>
      </w:r>
      <w:r w:rsidR="00083081" w:rsidRPr="00056FFE">
        <w:rPr>
          <w:sz w:val="20"/>
        </w:rPr>
        <w:t xml:space="preserve"> toxicology studies, t</w:t>
      </w:r>
      <w:r w:rsidR="00B63366" w:rsidRPr="00056FFE">
        <w:rPr>
          <w:sz w:val="20"/>
        </w:rPr>
        <w:t xml:space="preserve">oxicological evaluations were conducted </w:t>
      </w:r>
      <w:r w:rsidR="00BF7AAD" w:rsidRPr="00056FFE">
        <w:rPr>
          <w:sz w:val="20"/>
        </w:rPr>
        <w:t>consistent with the study objectives</w:t>
      </w:r>
      <w:r w:rsidR="00B63366" w:rsidRPr="00056FFE">
        <w:rPr>
          <w:sz w:val="20"/>
        </w:rPr>
        <w:t xml:space="preserve"> and </w:t>
      </w:r>
      <w:r w:rsidR="00321AE1" w:rsidRPr="00056FFE">
        <w:rPr>
          <w:sz w:val="20"/>
        </w:rPr>
        <w:t>with</w:t>
      </w:r>
      <w:r w:rsidR="00083081" w:rsidRPr="00056FFE">
        <w:rPr>
          <w:sz w:val="20"/>
        </w:rPr>
        <w:t xml:space="preserve"> ICH </w:t>
      </w:r>
      <w:r w:rsidR="00B63366" w:rsidRPr="00056FFE">
        <w:rPr>
          <w:sz w:val="20"/>
        </w:rPr>
        <w:t>standard</w:t>
      </w:r>
      <w:r w:rsidR="00083081" w:rsidRPr="00056FFE">
        <w:rPr>
          <w:sz w:val="20"/>
        </w:rPr>
        <w:t>s</w:t>
      </w:r>
      <w:r w:rsidR="00B63366" w:rsidRPr="00056FFE">
        <w:rPr>
          <w:sz w:val="20"/>
        </w:rPr>
        <w:t xml:space="preserve"> for pharmaceutical </w:t>
      </w:r>
      <w:r w:rsidR="001465FD" w:rsidRPr="00056FFE">
        <w:rPr>
          <w:sz w:val="20"/>
        </w:rPr>
        <w:t xml:space="preserve">and novel excipient </w:t>
      </w:r>
      <w:r w:rsidR="00083081" w:rsidRPr="00056FFE">
        <w:rPr>
          <w:sz w:val="20"/>
        </w:rPr>
        <w:t>d</w:t>
      </w:r>
      <w:r w:rsidR="00B63366" w:rsidRPr="00056FFE">
        <w:rPr>
          <w:sz w:val="20"/>
        </w:rPr>
        <w:t>evelopment</w:t>
      </w:r>
      <w:r w:rsidR="00083081" w:rsidRPr="00056FFE">
        <w:rPr>
          <w:sz w:val="20"/>
        </w:rPr>
        <w:t>.</w:t>
      </w:r>
      <w:r w:rsidR="007279FB" w:rsidRPr="00056FFE">
        <w:rPr>
          <w:sz w:val="20"/>
        </w:rPr>
        <w:t xml:space="preserve"> </w:t>
      </w:r>
      <w:r w:rsidR="009114DF" w:rsidRPr="00056FFE">
        <w:rPr>
          <w:rStyle w:val="DDLReferenceSuperscript"/>
        </w:rPr>
        <w:t>[</w:t>
      </w:r>
      <w:r w:rsidR="009114DF" w:rsidRPr="00056FFE">
        <w:rPr>
          <w:rStyle w:val="DDLReferenceSuperscript"/>
        </w:rPr>
        <w:endnoteReference w:id="6"/>
      </w:r>
      <w:r w:rsidR="009114DF" w:rsidRPr="00056FFE">
        <w:rPr>
          <w:rStyle w:val="DDLReferenceSuperscript"/>
        </w:rPr>
        <w:t>]</w:t>
      </w:r>
      <w:r w:rsidR="007279FB" w:rsidRPr="00056FFE">
        <w:rPr>
          <w:rStyle w:val="DDLReferenceSuperscript"/>
        </w:rPr>
        <w:t xml:space="preserve"> </w:t>
      </w:r>
      <w:r w:rsidR="009114DF" w:rsidRPr="00056FFE">
        <w:rPr>
          <w:rStyle w:val="DDLReferenceSuperscript"/>
        </w:rPr>
        <w:t>[</w:t>
      </w:r>
      <w:r w:rsidR="009114DF" w:rsidRPr="00056FFE">
        <w:rPr>
          <w:rStyle w:val="DDLReferenceSuperscript"/>
        </w:rPr>
        <w:endnoteReference w:id="7"/>
      </w:r>
      <w:r w:rsidR="009114DF" w:rsidRPr="00056FFE">
        <w:rPr>
          <w:rStyle w:val="DDLReferenceSuperscript"/>
        </w:rPr>
        <w:t>]</w:t>
      </w:r>
      <w:r w:rsidR="00083081" w:rsidRPr="00056FFE">
        <w:rPr>
          <w:sz w:val="20"/>
        </w:rPr>
        <w:t xml:space="preserve">  Respiratory sensitization </w:t>
      </w:r>
      <w:r w:rsidRPr="00056FFE">
        <w:rPr>
          <w:sz w:val="20"/>
        </w:rPr>
        <w:t xml:space="preserve">in dogs and guinea pigs </w:t>
      </w:r>
      <w:r w:rsidR="00083081" w:rsidRPr="00056FFE">
        <w:rPr>
          <w:sz w:val="20"/>
        </w:rPr>
        <w:t xml:space="preserve">and cardiac sensitization </w:t>
      </w:r>
      <w:r w:rsidRPr="00056FFE">
        <w:rPr>
          <w:sz w:val="20"/>
        </w:rPr>
        <w:t xml:space="preserve">in dogs </w:t>
      </w:r>
      <w:r w:rsidR="00083081" w:rsidRPr="00056FFE">
        <w:rPr>
          <w:sz w:val="20"/>
        </w:rPr>
        <w:t xml:space="preserve">were evaluated </w:t>
      </w:r>
      <w:r w:rsidR="00A82FA6" w:rsidRPr="00056FFE">
        <w:rPr>
          <w:sz w:val="20"/>
        </w:rPr>
        <w:t>by modified methods of those</w:t>
      </w:r>
      <w:r w:rsidR="00083081" w:rsidRPr="00056FFE">
        <w:rPr>
          <w:sz w:val="20"/>
        </w:rPr>
        <w:t xml:space="preserve"> previously described.</w:t>
      </w:r>
      <w:r w:rsidR="007279FB" w:rsidRPr="00056FFE">
        <w:rPr>
          <w:sz w:val="20"/>
        </w:rPr>
        <w:t xml:space="preserve"> </w:t>
      </w:r>
      <w:r w:rsidR="005D0012" w:rsidRPr="00056FFE">
        <w:rPr>
          <w:rStyle w:val="DDLReferenceSuperscript"/>
        </w:rPr>
        <w:t>[</w:t>
      </w:r>
      <w:r w:rsidR="005D0012" w:rsidRPr="00056FFE">
        <w:rPr>
          <w:rStyle w:val="DDLReferenceSuperscript"/>
        </w:rPr>
        <w:endnoteReference w:id="8"/>
      </w:r>
      <w:r w:rsidR="005D0012" w:rsidRPr="00056FFE">
        <w:rPr>
          <w:rStyle w:val="DDLReferenceSuperscript"/>
        </w:rPr>
        <w:t>]</w:t>
      </w:r>
      <w:r w:rsidR="007279FB" w:rsidRPr="00056FFE">
        <w:rPr>
          <w:rStyle w:val="DDLReferenceSuperscript"/>
        </w:rPr>
        <w:t xml:space="preserve"> </w:t>
      </w:r>
      <w:r w:rsidR="005D0012" w:rsidRPr="00056FFE">
        <w:rPr>
          <w:rStyle w:val="DDLReferenceSuperscript"/>
        </w:rPr>
        <w:t>[</w:t>
      </w:r>
      <w:r w:rsidR="005D0012" w:rsidRPr="00056FFE">
        <w:rPr>
          <w:rStyle w:val="DDLReferenceSuperscript"/>
        </w:rPr>
        <w:endnoteReference w:id="9"/>
      </w:r>
      <w:r w:rsidR="005D0012" w:rsidRPr="00056FFE">
        <w:rPr>
          <w:rStyle w:val="DDLReferenceSuperscript"/>
        </w:rPr>
        <w:t>]</w:t>
      </w:r>
      <w:r w:rsidR="007279FB" w:rsidRPr="00056FFE">
        <w:rPr>
          <w:rStyle w:val="DDLReferenceSuperscript"/>
        </w:rPr>
        <w:t xml:space="preserve"> </w:t>
      </w:r>
      <w:r w:rsidR="005D0012" w:rsidRPr="00056FFE">
        <w:rPr>
          <w:rStyle w:val="DDLReferenceSuperscript"/>
        </w:rPr>
        <w:t>[</w:t>
      </w:r>
      <w:r w:rsidR="005D0012" w:rsidRPr="00056FFE">
        <w:rPr>
          <w:rStyle w:val="DDLReferenceSuperscript"/>
        </w:rPr>
        <w:endnoteReference w:id="10"/>
      </w:r>
      <w:r w:rsidR="005D0012" w:rsidRPr="00056FFE">
        <w:rPr>
          <w:rStyle w:val="DDLReferenceSuperscript"/>
        </w:rPr>
        <w:t>]</w:t>
      </w:r>
      <w:r w:rsidR="007279FB" w:rsidRPr="00056FFE">
        <w:rPr>
          <w:rStyle w:val="DDLReferenceSuperscript"/>
        </w:rPr>
        <w:t xml:space="preserve"> </w:t>
      </w:r>
      <w:r w:rsidR="005D0012" w:rsidRPr="00056FFE">
        <w:rPr>
          <w:rStyle w:val="DDLReferenceSuperscript"/>
        </w:rPr>
        <w:t>[</w:t>
      </w:r>
      <w:r w:rsidR="005D0012" w:rsidRPr="00056FFE">
        <w:rPr>
          <w:rStyle w:val="DDLReferenceSuperscript"/>
        </w:rPr>
        <w:endnoteReference w:id="11"/>
      </w:r>
      <w:r w:rsidR="005D0012" w:rsidRPr="00056FFE">
        <w:rPr>
          <w:rStyle w:val="DDLReferenceSuperscript"/>
        </w:rPr>
        <w:t>]</w:t>
      </w:r>
      <w:r w:rsidR="007279FB" w:rsidRPr="00056FFE">
        <w:rPr>
          <w:rStyle w:val="DDLReferenceSuperscript"/>
        </w:rPr>
        <w:t xml:space="preserve"> </w:t>
      </w:r>
      <w:r w:rsidR="005D0012" w:rsidRPr="00056FFE">
        <w:rPr>
          <w:rStyle w:val="DDLReferenceSuperscript"/>
        </w:rPr>
        <w:t>[</w:t>
      </w:r>
      <w:r w:rsidR="005D0012" w:rsidRPr="00056FFE">
        <w:rPr>
          <w:rStyle w:val="DDLReferenceSuperscript"/>
        </w:rPr>
        <w:endnoteReference w:id="12"/>
      </w:r>
      <w:r w:rsidR="005D0012" w:rsidRPr="00056FFE">
        <w:rPr>
          <w:rStyle w:val="DDLReferenceSuperscript"/>
        </w:rPr>
        <w:t>]</w:t>
      </w:r>
      <w:r w:rsidR="007279FB" w:rsidRPr="00056FFE">
        <w:rPr>
          <w:rStyle w:val="DDLReferenceSuperscript"/>
        </w:rPr>
        <w:t xml:space="preserve"> </w:t>
      </w:r>
      <w:r w:rsidR="005D0012" w:rsidRPr="00056FFE">
        <w:rPr>
          <w:rStyle w:val="DDLReferenceSuperscript"/>
        </w:rPr>
        <w:t>[</w:t>
      </w:r>
      <w:r w:rsidR="005D0012" w:rsidRPr="00056FFE">
        <w:rPr>
          <w:rStyle w:val="DDLReferenceSuperscript"/>
        </w:rPr>
        <w:endnoteReference w:id="13"/>
      </w:r>
      <w:r w:rsidR="005D0012" w:rsidRPr="00056FFE">
        <w:rPr>
          <w:rStyle w:val="DDLReferenceSuperscript"/>
        </w:rPr>
        <w:t>]</w:t>
      </w:r>
      <w:r w:rsidR="00083081" w:rsidRPr="00056FFE">
        <w:rPr>
          <w:sz w:val="20"/>
        </w:rPr>
        <w:t xml:space="preserve"> </w:t>
      </w:r>
    </w:p>
    <w:p w14:paraId="3CF67897" w14:textId="77777777" w:rsidR="005D7A91" w:rsidRPr="00056FFE" w:rsidRDefault="005D7A91" w:rsidP="00872C1A">
      <w:pPr>
        <w:pStyle w:val="DDLBodyText"/>
        <w:rPr>
          <w:b/>
          <w:bCs/>
          <w:i/>
          <w:iCs/>
          <w:sz w:val="20"/>
        </w:rPr>
      </w:pPr>
      <w:r w:rsidRPr="00056FFE">
        <w:rPr>
          <w:b/>
          <w:bCs/>
          <w:i/>
          <w:iCs/>
          <w:sz w:val="20"/>
        </w:rPr>
        <w:t>Compliance</w:t>
      </w:r>
    </w:p>
    <w:p w14:paraId="57408378" w14:textId="765E5FF7" w:rsidR="005D7A91" w:rsidRPr="00056FFE" w:rsidRDefault="003D4563" w:rsidP="005D7A91">
      <w:pPr>
        <w:pStyle w:val="DDLBodyText"/>
        <w:rPr>
          <w:sz w:val="20"/>
        </w:rPr>
      </w:pPr>
      <w:r w:rsidRPr="00056FFE">
        <w:rPr>
          <w:sz w:val="20"/>
        </w:rPr>
        <w:t xml:space="preserve">Where indicated, </w:t>
      </w:r>
      <w:r w:rsidR="005D7A91" w:rsidRPr="00056FFE">
        <w:rPr>
          <w:sz w:val="20"/>
        </w:rPr>
        <w:t>studies were conducted in accordance with the principles of 21 CFR Part 58 [Good Laboratory Practices (GLP) for Non-Clinical Laboratory Studies].</w:t>
      </w:r>
    </w:p>
    <w:p w14:paraId="7CDE55CD" w14:textId="7E77B05B" w:rsidR="00C72DD4" w:rsidRPr="00056FFE" w:rsidRDefault="00C72DD4" w:rsidP="00872C1A">
      <w:pPr>
        <w:pStyle w:val="DDLHeading1"/>
        <w:rPr>
          <w:sz w:val="20"/>
          <w:szCs w:val="20"/>
        </w:rPr>
      </w:pPr>
      <w:r w:rsidRPr="00056FFE">
        <w:rPr>
          <w:sz w:val="20"/>
          <w:szCs w:val="20"/>
        </w:rPr>
        <w:t>Results</w:t>
      </w:r>
    </w:p>
    <w:p w14:paraId="50B59881" w14:textId="2E642778" w:rsidR="00022079" w:rsidRPr="00056FFE" w:rsidRDefault="00022079" w:rsidP="00A0358B">
      <w:pPr>
        <w:pStyle w:val="DDLBodyText"/>
        <w:rPr>
          <w:rFonts w:cs="Arial"/>
          <w:sz w:val="20"/>
        </w:rPr>
      </w:pPr>
      <w:r w:rsidRPr="00056FFE">
        <w:rPr>
          <w:sz w:val="20"/>
        </w:rPr>
        <w:t xml:space="preserve">The results of the nonclinical safety studies conducted on </w:t>
      </w:r>
      <w:r w:rsidR="003D4563" w:rsidRPr="00056FFE">
        <w:rPr>
          <w:sz w:val="20"/>
        </w:rPr>
        <w:t xml:space="preserve">medical-grade HFA-152a are summarized in </w:t>
      </w:r>
      <w:r w:rsidR="003D4563" w:rsidRPr="00056FFE">
        <w:rPr>
          <w:rFonts w:cs="Arial"/>
          <w:sz w:val="20"/>
        </w:rPr>
        <w:t>Table 1.</w:t>
      </w:r>
    </w:p>
    <w:p w14:paraId="66B6A5E3" w14:textId="646EE890" w:rsidR="00313E6F" w:rsidRPr="00056FFE" w:rsidRDefault="003D4563" w:rsidP="000927F7">
      <w:pPr>
        <w:keepNext/>
        <w:spacing w:after="0"/>
        <w:rPr>
          <w:rFonts w:cs="Arial"/>
          <w:b/>
          <w:sz w:val="20"/>
        </w:rPr>
      </w:pPr>
      <w:r w:rsidRPr="00056FFE">
        <w:rPr>
          <w:rFonts w:cs="Arial"/>
          <w:b/>
          <w:sz w:val="20"/>
        </w:rPr>
        <w:t xml:space="preserve">Table 1  </w:t>
      </w:r>
      <w:r w:rsidR="00313E6F" w:rsidRPr="00056FFE">
        <w:rPr>
          <w:rFonts w:cs="Arial"/>
          <w:b/>
          <w:sz w:val="20"/>
        </w:rPr>
        <w:t>Overview of Nonclinical Toxicology Stud</w:t>
      </w:r>
      <w:r w:rsidR="004C683A" w:rsidRPr="00056FFE">
        <w:rPr>
          <w:rFonts w:cs="Arial"/>
          <w:b/>
          <w:sz w:val="20"/>
        </w:rPr>
        <w:t>y Results</w:t>
      </w:r>
      <w:r w:rsidR="00313E6F" w:rsidRPr="00056FFE">
        <w:rPr>
          <w:rFonts w:cs="Arial"/>
          <w:b/>
          <w:sz w:val="20"/>
        </w:rPr>
        <w:t xml:space="preserve"> for </w:t>
      </w:r>
      <w:r w:rsidRPr="00056FFE">
        <w:rPr>
          <w:rFonts w:cs="Arial"/>
          <w:b/>
          <w:sz w:val="20"/>
        </w:rPr>
        <w:t>Medical-Grade</w:t>
      </w:r>
      <w:r w:rsidR="00313E6F" w:rsidRPr="00056FFE">
        <w:rPr>
          <w:rFonts w:cs="Arial"/>
          <w:b/>
          <w:sz w:val="20"/>
        </w:rPr>
        <w:t xml:space="preserve"> HFA-152a</w:t>
      </w:r>
    </w:p>
    <w:tbl>
      <w:tblPr>
        <w:tblStyle w:val="TableGrid"/>
        <w:tblW w:w="5199" w:type="pct"/>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16"/>
        <w:gridCol w:w="6907"/>
      </w:tblGrid>
      <w:tr w:rsidR="00313E6F" w:rsidRPr="00056FFE" w14:paraId="07E5133B" w14:textId="77777777" w:rsidTr="00887BD1">
        <w:trPr>
          <w:cantSplit/>
          <w:tblHeader/>
          <w:jc w:val="center"/>
        </w:trPr>
        <w:tc>
          <w:tcPr>
            <w:tcW w:w="1335" w:type="pct"/>
            <w:tcBorders>
              <w:top w:val="single" w:sz="4" w:space="0" w:color="auto"/>
              <w:bottom w:val="single" w:sz="4" w:space="0" w:color="auto"/>
            </w:tcBorders>
            <w:shd w:val="clear" w:color="auto" w:fill="DEEAF6" w:themeFill="accent1" w:themeFillTint="33"/>
            <w:vAlign w:val="center"/>
          </w:tcPr>
          <w:p w14:paraId="0806F020" w14:textId="642E5263" w:rsidR="00313E6F" w:rsidRPr="00056FFE" w:rsidRDefault="00313E6F" w:rsidP="008621D9">
            <w:pPr>
              <w:pStyle w:val="DDLBodyText"/>
              <w:spacing w:after="120"/>
              <w:rPr>
                <w:rFonts w:cs="Arial"/>
                <w:b/>
                <w:szCs w:val="18"/>
              </w:rPr>
            </w:pPr>
            <w:r w:rsidRPr="00056FFE">
              <w:rPr>
                <w:rFonts w:cs="Arial"/>
                <w:b/>
                <w:szCs w:val="18"/>
              </w:rPr>
              <w:t>Study</w:t>
            </w:r>
            <w:r w:rsidR="00126944" w:rsidRPr="00056FFE">
              <w:rPr>
                <w:rFonts w:cs="Arial"/>
                <w:b/>
                <w:szCs w:val="18"/>
              </w:rPr>
              <w:t xml:space="preserve"> (species)</w:t>
            </w:r>
          </w:p>
        </w:tc>
        <w:tc>
          <w:tcPr>
            <w:tcW w:w="3665" w:type="pct"/>
            <w:tcBorders>
              <w:top w:val="single" w:sz="4" w:space="0" w:color="auto"/>
              <w:bottom w:val="single" w:sz="4" w:space="0" w:color="auto"/>
            </w:tcBorders>
            <w:shd w:val="clear" w:color="auto" w:fill="DEEAF6" w:themeFill="accent1" w:themeFillTint="33"/>
            <w:vAlign w:val="center"/>
          </w:tcPr>
          <w:p w14:paraId="0D36BC5E" w14:textId="77777777" w:rsidR="00313E6F" w:rsidRPr="00056FFE" w:rsidRDefault="00313E6F" w:rsidP="008621D9">
            <w:pPr>
              <w:pStyle w:val="DDLBodyText"/>
              <w:spacing w:after="120"/>
              <w:rPr>
                <w:rFonts w:cs="Arial"/>
                <w:b/>
                <w:szCs w:val="18"/>
              </w:rPr>
            </w:pPr>
            <w:r w:rsidRPr="00056FFE">
              <w:rPr>
                <w:rFonts w:cs="Arial"/>
                <w:b/>
                <w:szCs w:val="18"/>
              </w:rPr>
              <w:t>Summary</w:t>
            </w:r>
          </w:p>
        </w:tc>
      </w:tr>
      <w:tr w:rsidR="00126944" w:rsidRPr="00056FFE" w14:paraId="16E5F9B5" w14:textId="77777777" w:rsidTr="008621D9">
        <w:trPr>
          <w:cantSplit/>
          <w:jc w:val="center"/>
        </w:trPr>
        <w:tc>
          <w:tcPr>
            <w:tcW w:w="5000" w:type="pct"/>
            <w:gridSpan w:val="2"/>
            <w:tcBorders>
              <w:top w:val="single" w:sz="4" w:space="0" w:color="auto"/>
              <w:bottom w:val="single" w:sz="4" w:space="0" w:color="auto"/>
            </w:tcBorders>
            <w:shd w:val="clear" w:color="auto" w:fill="D9D9D9" w:themeFill="background1" w:themeFillShade="D9"/>
          </w:tcPr>
          <w:p w14:paraId="508845AE" w14:textId="1990D7F0" w:rsidR="00126944" w:rsidRPr="00056FFE" w:rsidRDefault="00126944" w:rsidP="008621D9">
            <w:pPr>
              <w:pStyle w:val="DDLBodyText"/>
              <w:spacing w:after="120"/>
              <w:rPr>
                <w:rFonts w:cs="Arial"/>
                <w:b/>
                <w:i/>
                <w:szCs w:val="18"/>
              </w:rPr>
            </w:pPr>
            <w:r w:rsidRPr="00056FFE">
              <w:rPr>
                <w:rFonts w:cs="Arial"/>
                <w:b/>
                <w:i/>
                <w:szCs w:val="18"/>
              </w:rPr>
              <w:t>Acute</w:t>
            </w:r>
          </w:p>
        </w:tc>
      </w:tr>
      <w:tr w:rsidR="00126944" w:rsidRPr="00056FFE" w14:paraId="38922E18" w14:textId="77777777" w:rsidTr="00887BD1">
        <w:trPr>
          <w:cantSplit/>
          <w:trHeight w:val="216"/>
          <w:jc w:val="center"/>
        </w:trPr>
        <w:tc>
          <w:tcPr>
            <w:tcW w:w="1335" w:type="pct"/>
            <w:tcBorders>
              <w:top w:val="single" w:sz="4" w:space="0" w:color="auto"/>
            </w:tcBorders>
          </w:tcPr>
          <w:p w14:paraId="0FA951E6" w14:textId="00D1B730" w:rsidR="00126944" w:rsidRPr="00056FFE" w:rsidRDefault="00126944" w:rsidP="008621D9">
            <w:pPr>
              <w:pStyle w:val="DDLBodyText"/>
              <w:spacing w:after="120"/>
              <w:rPr>
                <w:rFonts w:cs="Arial"/>
                <w:szCs w:val="18"/>
              </w:rPr>
            </w:pPr>
            <w:r w:rsidRPr="00056FFE">
              <w:rPr>
                <w:rFonts w:cs="Arial"/>
                <w:szCs w:val="18"/>
              </w:rPr>
              <w:t>MTD (mouse)</w:t>
            </w:r>
            <w:r w:rsidR="004C683A" w:rsidRPr="00056FFE">
              <w:rPr>
                <w:rFonts w:cs="Arial"/>
                <w:szCs w:val="18"/>
              </w:rPr>
              <w:t xml:space="preserve"> </w:t>
            </w:r>
            <w:r w:rsidR="00F579FD">
              <w:rPr>
                <w:rFonts w:cs="Arial"/>
                <w:szCs w:val="18"/>
                <w:vertAlign w:val="superscript"/>
              </w:rPr>
              <w:t>a</w:t>
            </w:r>
          </w:p>
        </w:tc>
        <w:tc>
          <w:tcPr>
            <w:tcW w:w="3665" w:type="pct"/>
            <w:tcBorders>
              <w:top w:val="single" w:sz="4" w:space="0" w:color="auto"/>
            </w:tcBorders>
          </w:tcPr>
          <w:p w14:paraId="6DB7A06C" w14:textId="568874CE" w:rsidR="00126944" w:rsidRPr="00056FFE" w:rsidRDefault="00126944" w:rsidP="008621D9">
            <w:pPr>
              <w:pStyle w:val="DDLBodyText"/>
              <w:spacing w:after="120"/>
              <w:rPr>
                <w:rFonts w:cs="Arial"/>
                <w:szCs w:val="18"/>
              </w:rPr>
            </w:pPr>
            <w:r w:rsidRPr="00056FFE">
              <w:rPr>
                <w:rFonts w:cs="Arial"/>
                <w:szCs w:val="18"/>
              </w:rPr>
              <w:t>MTD</w:t>
            </w:r>
            <w:r w:rsidR="006D5B74">
              <w:rPr>
                <w:rFonts w:cs="Arial"/>
                <w:szCs w:val="18"/>
              </w:rPr>
              <w:t xml:space="preserve"> =</w:t>
            </w:r>
            <w:r w:rsidR="00013A08" w:rsidRPr="00056FFE">
              <w:rPr>
                <w:rFonts w:cs="Arial"/>
                <w:szCs w:val="18"/>
              </w:rPr>
              <w:t xml:space="preserve"> 250000 ppm (2 h) (~</w:t>
            </w:r>
            <w:r w:rsidRPr="00056FFE">
              <w:rPr>
                <w:rFonts w:cs="Arial"/>
                <w:szCs w:val="18"/>
              </w:rPr>
              <w:t>70000 mg/kg-bw</w:t>
            </w:r>
            <w:r w:rsidR="00013A08" w:rsidRPr="00056FFE">
              <w:rPr>
                <w:rFonts w:cs="Arial"/>
                <w:szCs w:val="18"/>
              </w:rPr>
              <w:t>)</w:t>
            </w:r>
          </w:p>
        </w:tc>
      </w:tr>
      <w:tr w:rsidR="00313E6F" w:rsidRPr="00056FFE" w14:paraId="3F0C5177" w14:textId="77777777" w:rsidTr="00887BD1">
        <w:trPr>
          <w:cantSplit/>
          <w:jc w:val="center"/>
        </w:trPr>
        <w:tc>
          <w:tcPr>
            <w:tcW w:w="1335" w:type="pct"/>
          </w:tcPr>
          <w:p w14:paraId="6F987034" w14:textId="66D767BF" w:rsidR="00313E6F" w:rsidRPr="00056FFE" w:rsidRDefault="00313E6F" w:rsidP="008621D9">
            <w:pPr>
              <w:pStyle w:val="DDLBodyText"/>
              <w:spacing w:after="120"/>
              <w:rPr>
                <w:rFonts w:cs="Arial"/>
                <w:szCs w:val="18"/>
              </w:rPr>
            </w:pPr>
            <w:r w:rsidRPr="00056FFE">
              <w:rPr>
                <w:rFonts w:cs="Arial"/>
                <w:szCs w:val="18"/>
              </w:rPr>
              <w:t xml:space="preserve">MTD </w:t>
            </w:r>
            <w:r w:rsidR="00126944" w:rsidRPr="00056FFE">
              <w:rPr>
                <w:rFonts w:cs="Arial"/>
                <w:szCs w:val="18"/>
              </w:rPr>
              <w:t>(r</w:t>
            </w:r>
            <w:r w:rsidRPr="00056FFE">
              <w:rPr>
                <w:rFonts w:cs="Arial"/>
                <w:szCs w:val="18"/>
              </w:rPr>
              <w:t>at</w:t>
            </w:r>
            <w:r w:rsidR="00126944" w:rsidRPr="00056FFE">
              <w:rPr>
                <w:rFonts w:cs="Arial"/>
                <w:szCs w:val="18"/>
              </w:rPr>
              <w:t>)</w:t>
            </w:r>
            <w:r w:rsidR="000927F7" w:rsidRPr="00056FFE">
              <w:rPr>
                <w:rFonts w:cs="Arial"/>
                <w:szCs w:val="18"/>
                <w:vertAlign w:val="superscript"/>
              </w:rPr>
              <w:t xml:space="preserve"> </w:t>
            </w:r>
            <w:r w:rsidR="00F579FD">
              <w:rPr>
                <w:rFonts w:cs="Arial"/>
                <w:szCs w:val="18"/>
                <w:vertAlign w:val="superscript"/>
              </w:rPr>
              <w:t>a</w:t>
            </w:r>
          </w:p>
        </w:tc>
        <w:tc>
          <w:tcPr>
            <w:tcW w:w="3665" w:type="pct"/>
          </w:tcPr>
          <w:p w14:paraId="46156D3B" w14:textId="7A6A19F9" w:rsidR="00313E6F" w:rsidRPr="00056FFE" w:rsidRDefault="00313E6F" w:rsidP="008621D9">
            <w:pPr>
              <w:pStyle w:val="DDLBodyText"/>
              <w:spacing w:after="120"/>
              <w:rPr>
                <w:rFonts w:cs="Arial"/>
                <w:szCs w:val="18"/>
              </w:rPr>
            </w:pPr>
            <w:r w:rsidRPr="00056FFE">
              <w:rPr>
                <w:rFonts w:cs="Arial"/>
                <w:szCs w:val="18"/>
              </w:rPr>
              <w:t xml:space="preserve">MTD </w:t>
            </w:r>
            <w:r w:rsidR="00013A08" w:rsidRPr="00056FFE">
              <w:rPr>
                <w:rFonts w:cs="Arial"/>
                <w:szCs w:val="18"/>
              </w:rPr>
              <w:t>= 250000 ppm (2 h) (</w:t>
            </w:r>
            <w:r w:rsidRPr="00056FFE">
              <w:rPr>
                <w:rFonts w:cs="Arial"/>
                <w:szCs w:val="18"/>
              </w:rPr>
              <w:t>~50000 mg/kg-bw</w:t>
            </w:r>
            <w:r w:rsidR="00013A08" w:rsidRPr="00056FFE">
              <w:rPr>
                <w:rFonts w:cs="Arial"/>
                <w:szCs w:val="18"/>
              </w:rPr>
              <w:t>)</w:t>
            </w:r>
          </w:p>
        </w:tc>
      </w:tr>
      <w:tr w:rsidR="00313E6F" w:rsidRPr="00056FFE" w14:paraId="67C1726E" w14:textId="77777777" w:rsidTr="00887BD1">
        <w:trPr>
          <w:cantSplit/>
          <w:trHeight w:val="225"/>
          <w:jc w:val="center"/>
        </w:trPr>
        <w:tc>
          <w:tcPr>
            <w:tcW w:w="1335" w:type="pct"/>
            <w:tcBorders>
              <w:bottom w:val="single" w:sz="4" w:space="0" w:color="auto"/>
            </w:tcBorders>
          </w:tcPr>
          <w:p w14:paraId="569E24AF" w14:textId="4611241D" w:rsidR="00313E6F" w:rsidRPr="00056FFE" w:rsidRDefault="00313E6F" w:rsidP="008621D9">
            <w:pPr>
              <w:pStyle w:val="DDLBodyText"/>
              <w:spacing w:after="120"/>
              <w:rPr>
                <w:rFonts w:cs="Arial"/>
                <w:szCs w:val="18"/>
              </w:rPr>
            </w:pPr>
            <w:r w:rsidRPr="00056FFE">
              <w:rPr>
                <w:rFonts w:cs="Arial"/>
                <w:szCs w:val="18"/>
              </w:rPr>
              <w:t xml:space="preserve">MTD </w:t>
            </w:r>
            <w:r w:rsidR="00126944" w:rsidRPr="00056FFE">
              <w:rPr>
                <w:rFonts w:cs="Arial"/>
                <w:szCs w:val="18"/>
              </w:rPr>
              <w:t>(dog)</w:t>
            </w:r>
            <w:r w:rsidR="000927F7" w:rsidRPr="00056FFE">
              <w:rPr>
                <w:rFonts w:cs="Arial"/>
                <w:szCs w:val="18"/>
                <w:vertAlign w:val="superscript"/>
              </w:rPr>
              <w:t xml:space="preserve"> </w:t>
            </w:r>
            <w:r w:rsidR="00F579FD">
              <w:rPr>
                <w:rFonts w:cs="Arial"/>
                <w:szCs w:val="18"/>
                <w:vertAlign w:val="superscript"/>
              </w:rPr>
              <w:t>a</w:t>
            </w:r>
          </w:p>
        </w:tc>
        <w:tc>
          <w:tcPr>
            <w:tcW w:w="3665" w:type="pct"/>
            <w:tcBorders>
              <w:bottom w:val="single" w:sz="4" w:space="0" w:color="auto"/>
            </w:tcBorders>
          </w:tcPr>
          <w:p w14:paraId="0BF24158" w14:textId="4B4A3F45" w:rsidR="00313E6F" w:rsidRPr="00056FFE" w:rsidRDefault="00313E6F" w:rsidP="008621D9">
            <w:pPr>
              <w:pStyle w:val="DDLBodyText"/>
              <w:spacing w:after="120"/>
              <w:rPr>
                <w:rFonts w:cs="Arial"/>
                <w:szCs w:val="18"/>
              </w:rPr>
            </w:pPr>
            <w:r w:rsidRPr="00056FFE">
              <w:rPr>
                <w:rFonts w:cs="Arial"/>
                <w:szCs w:val="18"/>
              </w:rPr>
              <w:t>MTD</w:t>
            </w:r>
            <w:r w:rsidR="00013A08" w:rsidRPr="00056FFE">
              <w:rPr>
                <w:rFonts w:cs="Arial"/>
                <w:szCs w:val="18"/>
              </w:rPr>
              <w:t xml:space="preserve"> = 150000 ppm (1 h) (</w:t>
            </w:r>
            <w:r w:rsidRPr="00056FFE">
              <w:rPr>
                <w:rFonts w:cs="Arial"/>
                <w:szCs w:val="18"/>
              </w:rPr>
              <w:t>~9000 mg/kg-bw</w:t>
            </w:r>
            <w:r w:rsidR="00013A08" w:rsidRPr="00056FFE">
              <w:rPr>
                <w:rFonts w:cs="Arial"/>
                <w:szCs w:val="18"/>
              </w:rPr>
              <w:t>)</w:t>
            </w:r>
          </w:p>
        </w:tc>
      </w:tr>
      <w:tr w:rsidR="00313E6F" w:rsidRPr="00056FFE" w14:paraId="2A3536D4" w14:textId="77777777" w:rsidTr="008621D9">
        <w:trPr>
          <w:cantSplit/>
          <w:jc w:val="center"/>
        </w:trPr>
        <w:tc>
          <w:tcPr>
            <w:tcW w:w="5000" w:type="pct"/>
            <w:gridSpan w:val="2"/>
            <w:tcBorders>
              <w:top w:val="single" w:sz="4" w:space="0" w:color="auto"/>
              <w:bottom w:val="single" w:sz="4" w:space="0" w:color="auto"/>
            </w:tcBorders>
            <w:shd w:val="clear" w:color="auto" w:fill="D9D9D9" w:themeFill="background1" w:themeFillShade="D9"/>
          </w:tcPr>
          <w:p w14:paraId="034FDF46" w14:textId="2201FFB9" w:rsidR="00313E6F" w:rsidRPr="00056FFE" w:rsidRDefault="00313E6F" w:rsidP="008621D9">
            <w:pPr>
              <w:pStyle w:val="DDLBodyText"/>
              <w:spacing w:after="120"/>
              <w:rPr>
                <w:rFonts w:cs="Arial"/>
                <w:b/>
                <w:i/>
                <w:szCs w:val="18"/>
              </w:rPr>
            </w:pPr>
            <w:r w:rsidRPr="00056FFE">
              <w:rPr>
                <w:rFonts w:cs="Arial"/>
                <w:b/>
                <w:i/>
                <w:szCs w:val="18"/>
              </w:rPr>
              <w:t>Repeat Dos</w:t>
            </w:r>
            <w:r w:rsidR="00126944" w:rsidRPr="00056FFE">
              <w:rPr>
                <w:rFonts w:cs="Arial"/>
                <w:b/>
                <w:i/>
                <w:szCs w:val="18"/>
              </w:rPr>
              <w:t>e</w:t>
            </w:r>
          </w:p>
        </w:tc>
      </w:tr>
      <w:tr w:rsidR="00313E6F" w:rsidRPr="00056FFE" w14:paraId="6F97D2ED" w14:textId="77777777" w:rsidTr="00887BD1">
        <w:trPr>
          <w:cantSplit/>
          <w:jc w:val="center"/>
        </w:trPr>
        <w:tc>
          <w:tcPr>
            <w:tcW w:w="1335" w:type="pct"/>
            <w:tcBorders>
              <w:top w:val="single" w:sz="4" w:space="0" w:color="auto"/>
            </w:tcBorders>
          </w:tcPr>
          <w:p w14:paraId="568537E9" w14:textId="031AB635" w:rsidR="00313E6F" w:rsidRPr="00056FFE" w:rsidRDefault="00313E6F" w:rsidP="008621D9">
            <w:pPr>
              <w:pStyle w:val="DDLBodyText"/>
              <w:spacing w:after="120"/>
              <w:rPr>
                <w:rFonts w:cs="Arial"/>
                <w:szCs w:val="18"/>
              </w:rPr>
            </w:pPr>
            <w:r w:rsidRPr="00056FFE">
              <w:rPr>
                <w:rFonts w:cs="Arial"/>
                <w:szCs w:val="18"/>
              </w:rPr>
              <w:t xml:space="preserve">14-Day </w:t>
            </w:r>
            <w:r w:rsidR="00126944" w:rsidRPr="00056FFE">
              <w:rPr>
                <w:rFonts w:cs="Arial"/>
                <w:szCs w:val="18"/>
              </w:rPr>
              <w:t>(mouse)</w:t>
            </w:r>
            <w:r w:rsidRPr="00056FFE">
              <w:rPr>
                <w:rFonts w:cs="Arial"/>
                <w:szCs w:val="18"/>
              </w:rPr>
              <w:t xml:space="preserve"> (GLP)</w:t>
            </w:r>
            <w:r w:rsidR="000927F7" w:rsidRPr="00056FFE">
              <w:rPr>
                <w:rFonts w:cs="Arial"/>
                <w:szCs w:val="18"/>
                <w:vertAlign w:val="superscript"/>
              </w:rPr>
              <w:t xml:space="preserve"> </w:t>
            </w:r>
            <w:r w:rsidR="00F579FD">
              <w:rPr>
                <w:rFonts w:cs="Arial"/>
                <w:szCs w:val="18"/>
                <w:vertAlign w:val="superscript"/>
              </w:rPr>
              <w:t>a</w:t>
            </w:r>
          </w:p>
        </w:tc>
        <w:tc>
          <w:tcPr>
            <w:tcW w:w="3665" w:type="pct"/>
            <w:tcBorders>
              <w:top w:val="single" w:sz="4" w:space="0" w:color="auto"/>
            </w:tcBorders>
          </w:tcPr>
          <w:p w14:paraId="660F2F56" w14:textId="5AE889B5" w:rsidR="00313E6F" w:rsidRPr="00056FFE" w:rsidRDefault="00313E6F" w:rsidP="008621D9">
            <w:pPr>
              <w:pStyle w:val="DDLBodyText"/>
              <w:spacing w:after="120"/>
              <w:rPr>
                <w:rFonts w:cs="Arial"/>
                <w:szCs w:val="18"/>
              </w:rPr>
            </w:pPr>
            <w:r w:rsidRPr="00056FFE">
              <w:rPr>
                <w:rFonts w:cs="Arial"/>
                <w:szCs w:val="18"/>
              </w:rPr>
              <w:t>NOAEC = 50000 ppm (2 h/d)</w:t>
            </w:r>
            <w:r w:rsidR="00CE65CC">
              <w:rPr>
                <w:rFonts w:cs="Arial"/>
                <w:szCs w:val="18"/>
              </w:rPr>
              <w:t>,</w:t>
            </w:r>
            <w:r w:rsidRPr="00056FFE">
              <w:rPr>
                <w:rFonts w:cs="Arial"/>
                <w:szCs w:val="18"/>
              </w:rPr>
              <w:t xml:space="preserve"> NOAEL</w:t>
            </w:r>
            <w:r w:rsidR="006D5B74">
              <w:rPr>
                <w:rFonts w:cs="Arial"/>
                <w:szCs w:val="18"/>
              </w:rPr>
              <w:t xml:space="preserve"> = </w:t>
            </w:r>
            <w:r w:rsidRPr="00056FFE">
              <w:rPr>
                <w:rFonts w:cs="Arial"/>
                <w:szCs w:val="18"/>
              </w:rPr>
              <w:t>15000 mg/kg-bw/d</w:t>
            </w:r>
            <w:r w:rsidR="00CE65CC">
              <w:rPr>
                <w:rFonts w:cs="Arial"/>
                <w:szCs w:val="18"/>
              </w:rPr>
              <w:t>.</w:t>
            </w:r>
            <w:r w:rsidRPr="00056FFE">
              <w:rPr>
                <w:rFonts w:cs="Arial"/>
                <w:szCs w:val="18"/>
              </w:rPr>
              <w:t xml:space="preserve"> </w:t>
            </w:r>
            <w:r w:rsidR="00CE65CC">
              <w:rPr>
                <w:rFonts w:cs="Arial"/>
                <w:szCs w:val="18"/>
              </w:rPr>
              <w:t>B</w:t>
            </w:r>
            <w:r w:rsidRPr="00056FFE">
              <w:rPr>
                <w:rFonts w:cs="Arial"/>
                <w:szCs w:val="18"/>
              </w:rPr>
              <w:t>ased on transient hypoxic/anesthetic effects at ≥ 125000 ppm</w:t>
            </w:r>
            <w:r w:rsidR="00CE65CC">
              <w:rPr>
                <w:rFonts w:cs="Arial"/>
                <w:szCs w:val="18"/>
              </w:rPr>
              <w:t>.</w:t>
            </w:r>
          </w:p>
        </w:tc>
      </w:tr>
      <w:tr w:rsidR="00313E6F" w:rsidRPr="00056FFE" w14:paraId="50FD9ADD" w14:textId="77777777" w:rsidTr="00887BD1">
        <w:trPr>
          <w:cantSplit/>
          <w:jc w:val="center"/>
        </w:trPr>
        <w:tc>
          <w:tcPr>
            <w:tcW w:w="1335" w:type="pct"/>
          </w:tcPr>
          <w:p w14:paraId="2E83C263" w14:textId="7628FCA7" w:rsidR="00313E6F" w:rsidRPr="00056FFE" w:rsidRDefault="00313E6F" w:rsidP="008621D9">
            <w:pPr>
              <w:pStyle w:val="DDLBodyText"/>
              <w:spacing w:after="120"/>
              <w:rPr>
                <w:rFonts w:cs="Arial"/>
                <w:szCs w:val="18"/>
              </w:rPr>
            </w:pPr>
            <w:r w:rsidRPr="00056FFE">
              <w:rPr>
                <w:rFonts w:cs="Arial"/>
                <w:szCs w:val="18"/>
              </w:rPr>
              <w:t xml:space="preserve">14-Day </w:t>
            </w:r>
            <w:r w:rsidR="00FF443A" w:rsidRPr="00056FFE">
              <w:rPr>
                <w:rFonts w:cs="Arial"/>
                <w:szCs w:val="18"/>
              </w:rPr>
              <w:t>(rat)</w:t>
            </w:r>
            <w:r w:rsidRPr="00056FFE">
              <w:rPr>
                <w:rFonts w:cs="Arial"/>
                <w:szCs w:val="18"/>
              </w:rPr>
              <w:t xml:space="preserve"> (GLP)</w:t>
            </w:r>
            <w:r w:rsidR="000927F7" w:rsidRPr="00056FFE">
              <w:rPr>
                <w:rFonts w:cs="Arial"/>
                <w:szCs w:val="18"/>
                <w:vertAlign w:val="superscript"/>
              </w:rPr>
              <w:t xml:space="preserve"> </w:t>
            </w:r>
            <w:r w:rsidR="00F579FD">
              <w:rPr>
                <w:rFonts w:cs="Arial"/>
                <w:szCs w:val="18"/>
                <w:vertAlign w:val="superscript"/>
              </w:rPr>
              <w:t>a</w:t>
            </w:r>
          </w:p>
        </w:tc>
        <w:tc>
          <w:tcPr>
            <w:tcW w:w="3665" w:type="pct"/>
          </w:tcPr>
          <w:p w14:paraId="19579BB8" w14:textId="2CEA384C" w:rsidR="00313E6F" w:rsidRPr="00056FFE" w:rsidRDefault="00313E6F" w:rsidP="008621D9">
            <w:pPr>
              <w:pStyle w:val="DDLBodyText"/>
              <w:spacing w:after="120"/>
              <w:rPr>
                <w:rFonts w:cs="Arial"/>
                <w:szCs w:val="18"/>
              </w:rPr>
            </w:pPr>
            <w:r w:rsidRPr="00056FFE">
              <w:rPr>
                <w:rFonts w:cs="Arial"/>
                <w:szCs w:val="18"/>
              </w:rPr>
              <w:t>NOAEC = 125000 ppm (2 h/d)</w:t>
            </w:r>
            <w:r w:rsidR="00CE65CC">
              <w:rPr>
                <w:rFonts w:cs="Arial"/>
                <w:szCs w:val="18"/>
              </w:rPr>
              <w:t>,</w:t>
            </w:r>
            <w:r w:rsidRPr="00056FFE">
              <w:rPr>
                <w:rFonts w:cs="Arial"/>
                <w:szCs w:val="18"/>
              </w:rPr>
              <w:t xml:space="preserve"> NOAEL </w:t>
            </w:r>
            <w:r w:rsidR="006D5B74">
              <w:rPr>
                <w:rFonts w:cs="Arial"/>
                <w:szCs w:val="18"/>
              </w:rPr>
              <w:t xml:space="preserve">= </w:t>
            </w:r>
            <w:r w:rsidRPr="00056FFE">
              <w:rPr>
                <w:rFonts w:cs="Arial"/>
                <w:szCs w:val="18"/>
              </w:rPr>
              <w:t>2</w:t>
            </w:r>
            <w:r w:rsidR="007C1C09" w:rsidRPr="00056FFE">
              <w:rPr>
                <w:rFonts w:cs="Arial"/>
                <w:szCs w:val="18"/>
              </w:rPr>
              <w:t>4639</w:t>
            </w:r>
            <w:r w:rsidRPr="00056FFE">
              <w:rPr>
                <w:rFonts w:cs="Arial"/>
                <w:szCs w:val="18"/>
              </w:rPr>
              <w:t xml:space="preserve"> mg/kg-bw/d</w:t>
            </w:r>
            <w:r w:rsidR="00CE65CC">
              <w:rPr>
                <w:rFonts w:cs="Arial"/>
                <w:szCs w:val="18"/>
              </w:rPr>
              <w:t>.</w:t>
            </w:r>
            <w:r w:rsidRPr="00056FFE">
              <w:rPr>
                <w:rFonts w:cs="Arial"/>
                <w:szCs w:val="18"/>
              </w:rPr>
              <w:t xml:space="preserve"> </w:t>
            </w:r>
            <w:r w:rsidR="00CE65CC">
              <w:rPr>
                <w:rFonts w:cs="Arial"/>
                <w:szCs w:val="18"/>
              </w:rPr>
              <w:t>B</w:t>
            </w:r>
            <w:r w:rsidRPr="00056FFE">
              <w:rPr>
                <w:rFonts w:cs="Arial"/>
                <w:szCs w:val="18"/>
              </w:rPr>
              <w:t>ased on transient hypoxic/anesthetic effects at 250000 ppm</w:t>
            </w:r>
            <w:r w:rsidR="00CE65CC">
              <w:rPr>
                <w:rFonts w:cs="Arial"/>
                <w:szCs w:val="18"/>
              </w:rPr>
              <w:t>.</w:t>
            </w:r>
          </w:p>
        </w:tc>
      </w:tr>
      <w:tr w:rsidR="00313E6F" w:rsidRPr="00056FFE" w14:paraId="666E6534" w14:textId="77777777" w:rsidTr="00887BD1">
        <w:trPr>
          <w:cantSplit/>
          <w:jc w:val="center"/>
        </w:trPr>
        <w:tc>
          <w:tcPr>
            <w:tcW w:w="1335" w:type="pct"/>
          </w:tcPr>
          <w:p w14:paraId="2C2AF2E4" w14:textId="2A2D5A8D" w:rsidR="00313E6F" w:rsidRPr="00056FFE" w:rsidRDefault="00313E6F" w:rsidP="008621D9">
            <w:pPr>
              <w:pStyle w:val="DDLBodyText"/>
              <w:spacing w:after="120"/>
              <w:rPr>
                <w:rFonts w:cs="Arial"/>
                <w:szCs w:val="18"/>
              </w:rPr>
            </w:pPr>
            <w:r w:rsidRPr="00056FFE">
              <w:rPr>
                <w:rFonts w:cs="Arial"/>
                <w:szCs w:val="18"/>
              </w:rPr>
              <w:t>6-Month</w:t>
            </w:r>
            <w:r w:rsidR="00FF443A" w:rsidRPr="00056FFE">
              <w:rPr>
                <w:rFonts w:cs="Arial"/>
                <w:szCs w:val="18"/>
              </w:rPr>
              <w:t xml:space="preserve"> (r</w:t>
            </w:r>
            <w:r w:rsidRPr="00056FFE">
              <w:rPr>
                <w:rFonts w:cs="Arial"/>
                <w:szCs w:val="18"/>
              </w:rPr>
              <w:t>at</w:t>
            </w:r>
            <w:r w:rsidR="00FF443A" w:rsidRPr="00056FFE">
              <w:rPr>
                <w:rFonts w:cs="Arial"/>
                <w:szCs w:val="18"/>
              </w:rPr>
              <w:t>)</w:t>
            </w:r>
            <w:r w:rsidRPr="00056FFE">
              <w:rPr>
                <w:rFonts w:cs="Arial"/>
                <w:szCs w:val="18"/>
              </w:rPr>
              <w:t xml:space="preserve"> (GLP)</w:t>
            </w:r>
            <w:r w:rsidR="000927F7" w:rsidRPr="00056FFE">
              <w:rPr>
                <w:rFonts w:cs="Arial"/>
                <w:szCs w:val="18"/>
                <w:vertAlign w:val="superscript"/>
              </w:rPr>
              <w:t xml:space="preserve"> </w:t>
            </w:r>
            <w:r w:rsidR="00F579FD">
              <w:rPr>
                <w:rFonts w:cs="Arial"/>
                <w:szCs w:val="18"/>
                <w:vertAlign w:val="superscript"/>
              </w:rPr>
              <w:t>a</w:t>
            </w:r>
          </w:p>
        </w:tc>
        <w:tc>
          <w:tcPr>
            <w:tcW w:w="3665" w:type="pct"/>
          </w:tcPr>
          <w:p w14:paraId="06B4F02B" w14:textId="0066AEEA" w:rsidR="00313E6F" w:rsidRPr="00056FFE" w:rsidRDefault="00313E6F" w:rsidP="008621D9">
            <w:pPr>
              <w:pStyle w:val="DDLBodyText"/>
              <w:spacing w:after="120"/>
              <w:rPr>
                <w:rFonts w:cs="Arial"/>
                <w:szCs w:val="18"/>
              </w:rPr>
            </w:pPr>
            <w:r w:rsidRPr="00056FFE">
              <w:rPr>
                <w:rFonts w:cs="Arial"/>
                <w:szCs w:val="18"/>
              </w:rPr>
              <w:t xml:space="preserve">NOAEC = </w:t>
            </w:r>
            <w:r w:rsidR="00F61AE1" w:rsidRPr="00056FFE">
              <w:rPr>
                <w:rFonts w:cs="Arial"/>
                <w:szCs w:val="18"/>
              </w:rPr>
              <w:t>125000 ppm (2 h/d)</w:t>
            </w:r>
            <w:r w:rsidR="00CE65CC">
              <w:rPr>
                <w:rFonts w:cs="Arial"/>
                <w:szCs w:val="18"/>
              </w:rPr>
              <w:t>,</w:t>
            </w:r>
            <w:r w:rsidR="00F61AE1" w:rsidRPr="00056FFE">
              <w:rPr>
                <w:rFonts w:cs="Arial"/>
                <w:szCs w:val="18"/>
              </w:rPr>
              <w:t xml:space="preserve"> NOAEL </w:t>
            </w:r>
            <w:r w:rsidR="006D5B74">
              <w:rPr>
                <w:rFonts w:cs="Arial"/>
                <w:szCs w:val="18"/>
              </w:rPr>
              <w:t xml:space="preserve">= </w:t>
            </w:r>
            <w:r w:rsidR="008D2C92" w:rsidRPr="00056FFE">
              <w:rPr>
                <w:rFonts w:cs="Arial"/>
                <w:szCs w:val="18"/>
              </w:rPr>
              <w:t>23996 mg/kg-bw/d</w:t>
            </w:r>
            <w:r w:rsidR="00CE65CC">
              <w:rPr>
                <w:rFonts w:cs="Arial"/>
                <w:szCs w:val="18"/>
              </w:rPr>
              <w:t>. B</w:t>
            </w:r>
            <w:r w:rsidR="008D2C92" w:rsidRPr="00056FFE">
              <w:rPr>
                <w:rFonts w:cs="Arial"/>
                <w:szCs w:val="18"/>
              </w:rPr>
              <w:t>ased on transient hypoxic/anesthetic effects at 200000 ppm</w:t>
            </w:r>
            <w:r w:rsidR="00CE65CC">
              <w:rPr>
                <w:rFonts w:cs="Arial"/>
                <w:szCs w:val="18"/>
              </w:rPr>
              <w:t>.</w:t>
            </w:r>
          </w:p>
        </w:tc>
      </w:tr>
      <w:tr w:rsidR="00313E6F" w:rsidRPr="00056FFE" w14:paraId="3D59B771" w14:textId="77777777" w:rsidTr="00887BD1">
        <w:trPr>
          <w:cantSplit/>
          <w:jc w:val="center"/>
        </w:trPr>
        <w:tc>
          <w:tcPr>
            <w:tcW w:w="1335" w:type="pct"/>
          </w:tcPr>
          <w:p w14:paraId="342D75F3" w14:textId="3BCEE900" w:rsidR="00313E6F" w:rsidRPr="00056FFE" w:rsidRDefault="00313E6F" w:rsidP="008621D9">
            <w:pPr>
              <w:pStyle w:val="DDLBodyText"/>
              <w:spacing w:after="120"/>
              <w:rPr>
                <w:rFonts w:cs="Arial"/>
                <w:szCs w:val="18"/>
              </w:rPr>
            </w:pPr>
            <w:r w:rsidRPr="00056FFE">
              <w:rPr>
                <w:rFonts w:cs="Arial"/>
                <w:szCs w:val="18"/>
              </w:rPr>
              <w:t xml:space="preserve">14-Day </w:t>
            </w:r>
            <w:r w:rsidR="00FF443A" w:rsidRPr="00056FFE">
              <w:rPr>
                <w:rFonts w:cs="Arial"/>
                <w:szCs w:val="18"/>
              </w:rPr>
              <w:t>(d</w:t>
            </w:r>
            <w:r w:rsidRPr="00056FFE">
              <w:rPr>
                <w:rFonts w:cs="Arial"/>
                <w:szCs w:val="18"/>
              </w:rPr>
              <w:t>og</w:t>
            </w:r>
            <w:r w:rsidR="00FF443A" w:rsidRPr="00056FFE">
              <w:rPr>
                <w:rFonts w:cs="Arial"/>
                <w:szCs w:val="18"/>
              </w:rPr>
              <w:t>)</w:t>
            </w:r>
            <w:r w:rsidRPr="00056FFE">
              <w:rPr>
                <w:rFonts w:cs="Arial"/>
                <w:szCs w:val="18"/>
              </w:rPr>
              <w:t xml:space="preserve"> (GLP)</w:t>
            </w:r>
            <w:r w:rsidR="000927F7" w:rsidRPr="00056FFE">
              <w:rPr>
                <w:rFonts w:cs="Arial"/>
                <w:szCs w:val="18"/>
                <w:vertAlign w:val="superscript"/>
              </w:rPr>
              <w:t xml:space="preserve"> </w:t>
            </w:r>
            <w:r w:rsidR="00F579FD">
              <w:rPr>
                <w:rFonts w:cs="Arial"/>
                <w:szCs w:val="18"/>
                <w:vertAlign w:val="superscript"/>
              </w:rPr>
              <w:t>a</w:t>
            </w:r>
          </w:p>
        </w:tc>
        <w:tc>
          <w:tcPr>
            <w:tcW w:w="3665" w:type="pct"/>
          </w:tcPr>
          <w:p w14:paraId="1D82C8B0" w14:textId="035E5BF5" w:rsidR="00313E6F" w:rsidRPr="00056FFE" w:rsidRDefault="00313E6F" w:rsidP="008621D9">
            <w:pPr>
              <w:pStyle w:val="DDLBodyText"/>
              <w:spacing w:after="120"/>
              <w:rPr>
                <w:rFonts w:cs="Arial"/>
                <w:szCs w:val="18"/>
              </w:rPr>
            </w:pPr>
            <w:r w:rsidRPr="00056FFE">
              <w:rPr>
                <w:rFonts w:cs="Arial"/>
                <w:szCs w:val="18"/>
              </w:rPr>
              <w:t>NOAEC = 50000 ppm (1 h/d)</w:t>
            </w:r>
            <w:r w:rsidR="00CE65CC">
              <w:rPr>
                <w:rFonts w:cs="Arial"/>
                <w:szCs w:val="18"/>
              </w:rPr>
              <w:t>,</w:t>
            </w:r>
            <w:r w:rsidR="000B489B" w:rsidRPr="00056FFE">
              <w:rPr>
                <w:rFonts w:cs="Arial"/>
                <w:szCs w:val="18"/>
              </w:rPr>
              <w:t xml:space="preserve"> </w:t>
            </w:r>
            <w:r w:rsidRPr="00056FFE">
              <w:rPr>
                <w:rFonts w:cs="Arial"/>
                <w:szCs w:val="18"/>
              </w:rPr>
              <w:t xml:space="preserve">NOAEL </w:t>
            </w:r>
            <w:r w:rsidR="006D5B74">
              <w:rPr>
                <w:rFonts w:cs="Arial"/>
                <w:szCs w:val="18"/>
              </w:rPr>
              <w:t xml:space="preserve">= </w:t>
            </w:r>
            <w:r w:rsidRPr="00056FFE">
              <w:rPr>
                <w:rFonts w:cs="Arial"/>
                <w:szCs w:val="18"/>
              </w:rPr>
              <w:t>32</w:t>
            </w:r>
            <w:r w:rsidR="007C1C09" w:rsidRPr="00056FFE">
              <w:rPr>
                <w:rFonts w:cs="Arial"/>
                <w:szCs w:val="18"/>
              </w:rPr>
              <w:t>39</w:t>
            </w:r>
            <w:r w:rsidRPr="00056FFE">
              <w:rPr>
                <w:rFonts w:cs="Arial"/>
                <w:szCs w:val="18"/>
              </w:rPr>
              <w:t xml:space="preserve"> mg/kg-bw/d</w:t>
            </w:r>
            <w:r w:rsidR="00CE65CC">
              <w:rPr>
                <w:rFonts w:cs="Arial"/>
                <w:szCs w:val="18"/>
              </w:rPr>
              <w:t>. B</w:t>
            </w:r>
            <w:r w:rsidRPr="00056FFE">
              <w:rPr>
                <w:rFonts w:cs="Arial"/>
                <w:szCs w:val="18"/>
              </w:rPr>
              <w:t>ased on transient hypoxic/anesthetic effects at ≥ 100000 ppm</w:t>
            </w:r>
            <w:r w:rsidR="00CE65CC">
              <w:rPr>
                <w:rFonts w:cs="Arial"/>
                <w:szCs w:val="18"/>
              </w:rPr>
              <w:t>.</w:t>
            </w:r>
          </w:p>
        </w:tc>
      </w:tr>
      <w:tr w:rsidR="00313E6F" w:rsidRPr="00056FFE" w14:paraId="64EA19EC" w14:textId="77777777" w:rsidTr="00887BD1">
        <w:trPr>
          <w:cantSplit/>
          <w:jc w:val="center"/>
        </w:trPr>
        <w:tc>
          <w:tcPr>
            <w:tcW w:w="1335" w:type="pct"/>
            <w:tcBorders>
              <w:bottom w:val="single" w:sz="4" w:space="0" w:color="auto"/>
            </w:tcBorders>
          </w:tcPr>
          <w:p w14:paraId="35DF4A09" w14:textId="6523344D" w:rsidR="00313E6F" w:rsidRPr="00056FFE" w:rsidRDefault="00313E6F" w:rsidP="008621D9">
            <w:pPr>
              <w:pStyle w:val="DDLBodyText"/>
              <w:spacing w:after="120"/>
              <w:rPr>
                <w:rFonts w:cs="Arial"/>
                <w:szCs w:val="18"/>
              </w:rPr>
            </w:pPr>
            <w:r w:rsidRPr="00056FFE">
              <w:rPr>
                <w:rFonts w:cs="Arial"/>
                <w:szCs w:val="18"/>
              </w:rPr>
              <w:t xml:space="preserve">9-Month </w:t>
            </w:r>
            <w:r w:rsidR="00FF443A" w:rsidRPr="00056FFE">
              <w:rPr>
                <w:rFonts w:cs="Arial"/>
                <w:szCs w:val="18"/>
              </w:rPr>
              <w:t>(d</w:t>
            </w:r>
            <w:r w:rsidRPr="00056FFE">
              <w:rPr>
                <w:rFonts w:cs="Arial"/>
                <w:szCs w:val="18"/>
              </w:rPr>
              <w:t>og</w:t>
            </w:r>
            <w:r w:rsidR="0049412E" w:rsidRPr="00056FFE">
              <w:rPr>
                <w:rFonts w:cs="Arial"/>
                <w:szCs w:val="18"/>
              </w:rPr>
              <w:t>)</w:t>
            </w:r>
            <w:r w:rsidRPr="00056FFE">
              <w:rPr>
                <w:rFonts w:cs="Arial"/>
                <w:szCs w:val="18"/>
              </w:rPr>
              <w:t xml:space="preserve"> (GLP)</w:t>
            </w:r>
            <w:r w:rsidR="000927F7" w:rsidRPr="00056FFE">
              <w:rPr>
                <w:rFonts w:cs="Arial"/>
                <w:szCs w:val="18"/>
                <w:vertAlign w:val="superscript"/>
              </w:rPr>
              <w:t xml:space="preserve"> </w:t>
            </w:r>
            <w:r w:rsidR="00F579FD">
              <w:rPr>
                <w:rFonts w:cs="Arial"/>
                <w:szCs w:val="18"/>
                <w:vertAlign w:val="superscript"/>
              </w:rPr>
              <w:t>a</w:t>
            </w:r>
          </w:p>
        </w:tc>
        <w:tc>
          <w:tcPr>
            <w:tcW w:w="3665" w:type="pct"/>
            <w:tcBorders>
              <w:bottom w:val="single" w:sz="4" w:space="0" w:color="auto"/>
            </w:tcBorders>
          </w:tcPr>
          <w:p w14:paraId="522808E5" w14:textId="055DF1FF" w:rsidR="00313E6F" w:rsidRPr="00056FFE" w:rsidRDefault="008D2C92" w:rsidP="008621D9">
            <w:pPr>
              <w:pStyle w:val="DDLBodyText"/>
              <w:spacing w:after="120"/>
              <w:rPr>
                <w:rFonts w:cs="Arial"/>
                <w:szCs w:val="18"/>
              </w:rPr>
            </w:pPr>
            <w:r w:rsidRPr="00056FFE">
              <w:rPr>
                <w:rFonts w:cs="Arial"/>
                <w:szCs w:val="18"/>
              </w:rPr>
              <w:t>NOAEC = 80000 ppm (1 h/d)</w:t>
            </w:r>
            <w:r w:rsidR="00CE65CC">
              <w:rPr>
                <w:rFonts w:cs="Arial"/>
                <w:szCs w:val="18"/>
              </w:rPr>
              <w:t>,</w:t>
            </w:r>
            <w:r w:rsidR="000B489B" w:rsidRPr="00056FFE">
              <w:rPr>
                <w:rFonts w:cs="Arial"/>
                <w:szCs w:val="18"/>
              </w:rPr>
              <w:t xml:space="preserve"> </w:t>
            </w:r>
            <w:r w:rsidRPr="00056FFE">
              <w:rPr>
                <w:rFonts w:cs="Arial"/>
                <w:szCs w:val="18"/>
              </w:rPr>
              <w:t xml:space="preserve">NOAEL </w:t>
            </w:r>
            <w:r w:rsidR="006D5B74">
              <w:rPr>
                <w:rFonts w:cs="Arial"/>
                <w:szCs w:val="18"/>
              </w:rPr>
              <w:t xml:space="preserve">= </w:t>
            </w:r>
            <w:r w:rsidRPr="00056FFE">
              <w:rPr>
                <w:rFonts w:cs="Arial"/>
                <w:szCs w:val="18"/>
              </w:rPr>
              <w:t>4736 mg/kg-bw/d</w:t>
            </w:r>
            <w:r w:rsidR="00CE65CC">
              <w:rPr>
                <w:rFonts w:cs="Arial"/>
                <w:szCs w:val="18"/>
              </w:rPr>
              <w:t>. B</w:t>
            </w:r>
            <w:r w:rsidRPr="00056FFE">
              <w:rPr>
                <w:rFonts w:cs="Arial"/>
                <w:szCs w:val="18"/>
              </w:rPr>
              <w:t xml:space="preserve">ased on </w:t>
            </w:r>
            <w:r w:rsidR="00503AA6">
              <w:rPr>
                <w:rFonts w:cs="Arial"/>
                <w:szCs w:val="18"/>
              </w:rPr>
              <w:t xml:space="preserve">transient </w:t>
            </w:r>
            <w:r w:rsidRPr="00056FFE">
              <w:rPr>
                <w:rFonts w:cs="Arial"/>
                <w:szCs w:val="18"/>
              </w:rPr>
              <w:t>hypoxic/anesthetic effects at 125000 ppm</w:t>
            </w:r>
          </w:p>
        </w:tc>
      </w:tr>
      <w:tr w:rsidR="008621D9" w:rsidRPr="00056FFE" w14:paraId="6CA2AD69" w14:textId="77777777" w:rsidTr="008621D9">
        <w:trPr>
          <w:cantSplit/>
          <w:jc w:val="center"/>
        </w:trPr>
        <w:tc>
          <w:tcPr>
            <w:tcW w:w="5000" w:type="pct"/>
            <w:gridSpan w:val="2"/>
            <w:tcBorders>
              <w:top w:val="single" w:sz="4" w:space="0" w:color="auto"/>
              <w:bottom w:val="single" w:sz="4" w:space="0" w:color="auto"/>
            </w:tcBorders>
            <w:shd w:val="clear" w:color="auto" w:fill="BFBFBF" w:themeFill="background1" w:themeFillShade="BF"/>
          </w:tcPr>
          <w:p w14:paraId="5DF07418" w14:textId="35698CC9" w:rsidR="008621D9" w:rsidRPr="00056FFE" w:rsidRDefault="008621D9" w:rsidP="008621D9">
            <w:pPr>
              <w:pStyle w:val="DDLBodyText"/>
              <w:spacing w:after="120"/>
              <w:rPr>
                <w:rFonts w:cs="Arial"/>
                <w:szCs w:val="18"/>
              </w:rPr>
            </w:pPr>
            <w:r w:rsidRPr="00056FFE">
              <w:rPr>
                <w:rFonts w:cs="Arial"/>
                <w:b/>
                <w:i/>
                <w:szCs w:val="18"/>
              </w:rPr>
              <w:t>Carcinogenicity</w:t>
            </w:r>
          </w:p>
        </w:tc>
      </w:tr>
      <w:tr w:rsidR="00313E6F" w:rsidRPr="00056FFE" w14:paraId="34C5521C" w14:textId="77777777" w:rsidTr="00887BD1">
        <w:trPr>
          <w:cantSplit/>
          <w:jc w:val="center"/>
        </w:trPr>
        <w:tc>
          <w:tcPr>
            <w:tcW w:w="1335" w:type="pct"/>
            <w:tcBorders>
              <w:top w:val="single" w:sz="4" w:space="0" w:color="auto"/>
              <w:bottom w:val="single" w:sz="4" w:space="0" w:color="auto"/>
            </w:tcBorders>
          </w:tcPr>
          <w:p w14:paraId="37E3762D" w14:textId="480EB6B4" w:rsidR="00313E6F" w:rsidRPr="00056FFE" w:rsidRDefault="00313E6F" w:rsidP="008621D9">
            <w:pPr>
              <w:pStyle w:val="DDLBodyText"/>
              <w:spacing w:after="120"/>
              <w:rPr>
                <w:rFonts w:cs="Arial"/>
                <w:szCs w:val="18"/>
              </w:rPr>
            </w:pPr>
            <w:r w:rsidRPr="00056FFE">
              <w:rPr>
                <w:rFonts w:cs="Arial"/>
                <w:szCs w:val="18"/>
              </w:rPr>
              <w:t xml:space="preserve">2-Year </w:t>
            </w:r>
            <w:r w:rsidR="002313C3" w:rsidRPr="00056FFE">
              <w:rPr>
                <w:rFonts w:cs="Arial"/>
                <w:szCs w:val="18"/>
              </w:rPr>
              <w:t>(r</w:t>
            </w:r>
            <w:r w:rsidRPr="00056FFE">
              <w:rPr>
                <w:rFonts w:cs="Arial"/>
                <w:szCs w:val="18"/>
              </w:rPr>
              <w:t>at</w:t>
            </w:r>
            <w:r w:rsidR="002313C3" w:rsidRPr="00056FFE">
              <w:rPr>
                <w:rFonts w:cs="Arial"/>
                <w:szCs w:val="18"/>
              </w:rPr>
              <w:t>)</w:t>
            </w:r>
            <w:r w:rsidRPr="00056FFE">
              <w:rPr>
                <w:rFonts w:cs="Arial"/>
                <w:szCs w:val="18"/>
              </w:rPr>
              <w:t xml:space="preserve"> (GLP)</w:t>
            </w:r>
            <w:r w:rsidR="000927F7" w:rsidRPr="00056FFE">
              <w:rPr>
                <w:rFonts w:cs="Arial"/>
                <w:szCs w:val="18"/>
                <w:vertAlign w:val="superscript"/>
              </w:rPr>
              <w:t xml:space="preserve"> </w:t>
            </w:r>
            <w:r w:rsidR="00F579FD">
              <w:rPr>
                <w:rFonts w:cs="Arial"/>
                <w:szCs w:val="18"/>
                <w:vertAlign w:val="superscript"/>
              </w:rPr>
              <w:t>a</w:t>
            </w:r>
          </w:p>
        </w:tc>
        <w:tc>
          <w:tcPr>
            <w:tcW w:w="3665" w:type="pct"/>
            <w:tcBorders>
              <w:top w:val="single" w:sz="4" w:space="0" w:color="auto"/>
              <w:bottom w:val="single" w:sz="4" w:space="0" w:color="auto"/>
            </w:tcBorders>
          </w:tcPr>
          <w:p w14:paraId="2C397EE1" w14:textId="2A6EF8A6" w:rsidR="00313E6F" w:rsidRPr="00056FFE" w:rsidRDefault="00361753" w:rsidP="008621D9">
            <w:pPr>
              <w:pStyle w:val="DDLBodyText"/>
              <w:spacing w:after="120"/>
              <w:rPr>
                <w:rFonts w:cs="Arial"/>
                <w:szCs w:val="18"/>
              </w:rPr>
            </w:pPr>
            <w:r w:rsidRPr="00056FFE">
              <w:rPr>
                <w:rFonts w:cs="Arial"/>
                <w:szCs w:val="18"/>
              </w:rPr>
              <w:t>N</w:t>
            </w:r>
            <w:r w:rsidR="00126944" w:rsidRPr="00056FFE">
              <w:rPr>
                <w:rFonts w:cs="Arial"/>
                <w:szCs w:val="18"/>
              </w:rPr>
              <w:t xml:space="preserve">o </w:t>
            </w:r>
            <w:r w:rsidR="00143D97" w:rsidRPr="00056FFE">
              <w:rPr>
                <w:rFonts w:cs="Arial"/>
                <w:szCs w:val="18"/>
              </w:rPr>
              <w:t>evidence of tumorigenic activity</w:t>
            </w:r>
            <w:r w:rsidR="002313C3" w:rsidRPr="00056FFE">
              <w:rPr>
                <w:rFonts w:cs="Arial"/>
                <w:szCs w:val="18"/>
              </w:rPr>
              <w:t xml:space="preserve"> in male or female rats</w:t>
            </w:r>
            <w:r w:rsidR="0049412E" w:rsidRPr="00056FFE">
              <w:rPr>
                <w:rFonts w:cs="Arial"/>
                <w:szCs w:val="18"/>
              </w:rPr>
              <w:t xml:space="preserve"> up to highest tested dose of </w:t>
            </w:r>
            <w:r w:rsidR="007C2BF9" w:rsidRPr="00056FFE">
              <w:rPr>
                <w:rFonts w:cs="Arial"/>
                <w:szCs w:val="18"/>
              </w:rPr>
              <w:t xml:space="preserve">200000 ppm (2 h/d) </w:t>
            </w:r>
            <w:r w:rsidR="00143D97" w:rsidRPr="00056FFE">
              <w:rPr>
                <w:rFonts w:cs="Arial"/>
                <w:szCs w:val="18"/>
              </w:rPr>
              <w:t xml:space="preserve">(36817 mg/kg-bw/d) </w:t>
            </w:r>
            <w:r w:rsidR="007C2BF9" w:rsidRPr="00056FFE">
              <w:rPr>
                <w:rFonts w:cs="Arial"/>
                <w:szCs w:val="18"/>
              </w:rPr>
              <w:t>for 97 weeks.</w:t>
            </w:r>
          </w:p>
        </w:tc>
      </w:tr>
      <w:tr w:rsidR="00B66744" w:rsidRPr="00056FFE" w14:paraId="38ACB2B1" w14:textId="77777777" w:rsidTr="008621D9">
        <w:trPr>
          <w:cantSplit/>
          <w:jc w:val="center"/>
        </w:trPr>
        <w:tc>
          <w:tcPr>
            <w:tcW w:w="5000" w:type="pct"/>
            <w:gridSpan w:val="2"/>
            <w:tcBorders>
              <w:top w:val="single" w:sz="4" w:space="0" w:color="auto"/>
              <w:bottom w:val="single" w:sz="4" w:space="0" w:color="auto"/>
            </w:tcBorders>
            <w:shd w:val="clear" w:color="auto" w:fill="BFBFBF" w:themeFill="background1" w:themeFillShade="BF"/>
          </w:tcPr>
          <w:p w14:paraId="3FC6620F" w14:textId="41BC1514" w:rsidR="00B66744" w:rsidRPr="00056FFE" w:rsidRDefault="00B66744" w:rsidP="008621D9">
            <w:pPr>
              <w:pStyle w:val="DDLBodyText"/>
              <w:spacing w:after="120"/>
              <w:rPr>
                <w:rFonts w:cs="Arial"/>
                <w:b/>
                <w:i/>
                <w:szCs w:val="18"/>
              </w:rPr>
            </w:pPr>
            <w:r w:rsidRPr="00056FFE">
              <w:rPr>
                <w:rFonts w:cs="Arial"/>
                <w:b/>
                <w:i/>
                <w:szCs w:val="18"/>
              </w:rPr>
              <w:lastRenderedPageBreak/>
              <w:t>Developmental and Reproductive</w:t>
            </w:r>
          </w:p>
        </w:tc>
      </w:tr>
      <w:tr w:rsidR="00313E6F" w:rsidRPr="00056FFE" w14:paraId="013A0A6D" w14:textId="77777777" w:rsidTr="00887BD1">
        <w:trPr>
          <w:cantSplit/>
          <w:jc w:val="center"/>
        </w:trPr>
        <w:tc>
          <w:tcPr>
            <w:tcW w:w="1335" w:type="pct"/>
            <w:tcBorders>
              <w:top w:val="single" w:sz="4" w:space="0" w:color="auto"/>
            </w:tcBorders>
          </w:tcPr>
          <w:p w14:paraId="544FF097" w14:textId="1AE72053" w:rsidR="00313E6F" w:rsidRPr="00056FFE" w:rsidRDefault="00313E6F" w:rsidP="008621D9">
            <w:pPr>
              <w:pStyle w:val="DDLBodyText"/>
              <w:spacing w:after="120"/>
              <w:rPr>
                <w:rFonts w:cs="Arial"/>
                <w:szCs w:val="18"/>
              </w:rPr>
            </w:pPr>
            <w:r w:rsidRPr="00056FFE">
              <w:rPr>
                <w:rFonts w:cs="Arial"/>
                <w:szCs w:val="18"/>
              </w:rPr>
              <w:t xml:space="preserve">DRF EFD </w:t>
            </w:r>
            <w:r w:rsidR="00FF443A" w:rsidRPr="00056FFE">
              <w:rPr>
                <w:rFonts w:cs="Arial"/>
                <w:szCs w:val="18"/>
              </w:rPr>
              <w:t>(rat)</w:t>
            </w:r>
            <w:r w:rsidR="004C683A" w:rsidRPr="00056FFE">
              <w:rPr>
                <w:rFonts w:cs="Arial"/>
                <w:szCs w:val="18"/>
              </w:rPr>
              <w:t xml:space="preserve"> </w:t>
            </w:r>
            <w:r w:rsidR="00F579FD">
              <w:rPr>
                <w:rFonts w:cs="Arial"/>
                <w:szCs w:val="18"/>
                <w:vertAlign w:val="superscript"/>
              </w:rPr>
              <w:t>b</w:t>
            </w:r>
          </w:p>
        </w:tc>
        <w:tc>
          <w:tcPr>
            <w:tcW w:w="3665" w:type="pct"/>
            <w:tcBorders>
              <w:top w:val="single" w:sz="4" w:space="0" w:color="auto"/>
            </w:tcBorders>
          </w:tcPr>
          <w:p w14:paraId="19CDA4DA" w14:textId="3A7B0D3D" w:rsidR="00313E6F" w:rsidRPr="00056FFE" w:rsidRDefault="00D25EFE" w:rsidP="008621D9">
            <w:pPr>
              <w:pStyle w:val="DDLBodyText"/>
              <w:spacing w:after="120"/>
              <w:rPr>
                <w:rFonts w:cs="Arial"/>
                <w:szCs w:val="18"/>
              </w:rPr>
            </w:pPr>
            <w:r w:rsidRPr="00056FFE">
              <w:rPr>
                <w:rFonts w:cs="Arial"/>
                <w:szCs w:val="18"/>
              </w:rPr>
              <w:t xml:space="preserve">NOAEC </w:t>
            </w:r>
            <w:r w:rsidR="0057036B" w:rsidRPr="00056FFE">
              <w:rPr>
                <w:rFonts w:cs="Arial"/>
                <w:szCs w:val="18"/>
              </w:rPr>
              <w:t>≥</w:t>
            </w:r>
            <w:r w:rsidRPr="00056FFE">
              <w:rPr>
                <w:rFonts w:cs="Arial"/>
                <w:szCs w:val="18"/>
              </w:rPr>
              <w:t xml:space="preserve"> 30000 ppm (2 h/d)</w:t>
            </w:r>
            <w:r w:rsidR="00CE65CC">
              <w:rPr>
                <w:rFonts w:cs="Arial"/>
                <w:szCs w:val="18"/>
              </w:rPr>
              <w:t>,</w:t>
            </w:r>
            <w:r w:rsidR="005979B1" w:rsidRPr="00056FFE">
              <w:rPr>
                <w:rFonts w:cs="Arial"/>
                <w:szCs w:val="18"/>
              </w:rPr>
              <w:t xml:space="preserve"> NOAEL </w:t>
            </w:r>
            <w:r w:rsidR="0057036B" w:rsidRPr="00056FFE">
              <w:rPr>
                <w:rFonts w:cs="Arial"/>
                <w:szCs w:val="18"/>
              </w:rPr>
              <w:t>≥</w:t>
            </w:r>
            <w:r w:rsidR="005979B1" w:rsidRPr="00056FFE">
              <w:rPr>
                <w:rFonts w:cs="Arial"/>
                <w:szCs w:val="18"/>
              </w:rPr>
              <w:t xml:space="preserve"> </w:t>
            </w:r>
            <w:r w:rsidR="007D1BC2">
              <w:rPr>
                <w:rFonts w:cs="Arial"/>
                <w:szCs w:val="18"/>
              </w:rPr>
              <w:t>7</w:t>
            </w:r>
            <w:r w:rsidR="007D1BC2">
              <w:rPr>
                <w:rFonts w:cs="Arial"/>
              </w:rPr>
              <w:t>113</w:t>
            </w:r>
            <w:r w:rsidR="007D1BC2" w:rsidRPr="00056FFE">
              <w:rPr>
                <w:rFonts w:cs="Arial"/>
                <w:szCs w:val="18"/>
              </w:rPr>
              <w:t xml:space="preserve"> </w:t>
            </w:r>
            <w:r w:rsidR="0057036B" w:rsidRPr="00056FFE">
              <w:rPr>
                <w:rFonts w:cs="Arial"/>
                <w:szCs w:val="18"/>
              </w:rPr>
              <w:t>mg/kg-bw/d</w:t>
            </w:r>
            <w:r w:rsidR="00CE65CC">
              <w:rPr>
                <w:rFonts w:cs="Arial"/>
                <w:szCs w:val="18"/>
              </w:rPr>
              <w:t>.</w:t>
            </w:r>
          </w:p>
        </w:tc>
      </w:tr>
      <w:tr w:rsidR="00313E6F" w:rsidRPr="00056FFE" w14:paraId="4B28B4BD" w14:textId="77777777" w:rsidTr="00887BD1">
        <w:trPr>
          <w:cantSplit/>
          <w:jc w:val="center"/>
        </w:trPr>
        <w:tc>
          <w:tcPr>
            <w:tcW w:w="1335" w:type="pct"/>
          </w:tcPr>
          <w:p w14:paraId="2AAEB929" w14:textId="534E299B" w:rsidR="00313E6F" w:rsidRPr="00056FFE" w:rsidRDefault="00FF443A" w:rsidP="008621D9">
            <w:pPr>
              <w:pStyle w:val="DDLBodyText"/>
              <w:spacing w:after="120"/>
              <w:rPr>
                <w:rFonts w:cs="Arial"/>
                <w:szCs w:val="18"/>
              </w:rPr>
            </w:pPr>
            <w:r w:rsidRPr="00056FFE">
              <w:rPr>
                <w:rFonts w:cs="Arial"/>
                <w:szCs w:val="18"/>
              </w:rPr>
              <w:t>EFD (r</w:t>
            </w:r>
            <w:r w:rsidR="00313E6F" w:rsidRPr="00056FFE">
              <w:rPr>
                <w:rFonts w:cs="Arial"/>
                <w:szCs w:val="18"/>
              </w:rPr>
              <w:t>at</w:t>
            </w:r>
            <w:r w:rsidRPr="00056FFE">
              <w:rPr>
                <w:rFonts w:cs="Arial"/>
                <w:szCs w:val="18"/>
              </w:rPr>
              <w:t>)</w:t>
            </w:r>
            <w:r w:rsidR="00313E6F" w:rsidRPr="00056FFE">
              <w:rPr>
                <w:rFonts w:cs="Arial"/>
                <w:szCs w:val="18"/>
              </w:rPr>
              <w:t xml:space="preserve"> (GLP)</w:t>
            </w:r>
            <w:r w:rsidR="004C683A" w:rsidRPr="00056FFE">
              <w:rPr>
                <w:rFonts w:cs="Arial"/>
                <w:szCs w:val="18"/>
              </w:rPr>
              <w:t xml:space="preserve"> </w:t>
            </w:r>
            <w:r w:rsidR="00F579FD">
              <w:rPr>
                <w:rFonts w:cs="Arial"/>
                <w:szCs w:val="18"/>
                <w:vertAlign w:val="superscript"/>
              </w:rPr>
              <w:t>b</w:t>
            </w:r>
          </w:p>
        </w:tc>
        <w:tc>
          <w:tcPr>
            <w:tcW w:w="3665" w:type="pct"/>
          </w:tcPr>
          <w:p w14:paraId="0C023144" w14:textId="7DC8A481" w:rsidR="00313E6F" w:rsidRPr="00056FFE" w:rsidRDefault="00B00DDA" w:rsidP="008621D9">
            <w:pPr>
              <w:pStyle w:val="DDLBodyText"/>
              <w:spacing w:after="120"/>
              <w:rPr>
                <w:rFonts w:cs="Arial"/>
                <w:szCs w:val="18"/>
              </w:rPr>
            </w:pPr>
            <w:r w:rsidRPr="00056FFE">
              <w:rPr>
                <w:rFonts w:cs="Arial"/>
                <w:szCs w:val="18"/>
              </w:rPr>
              <w:t>NOAEC ≥ 30000 ppm (2 h/d)</w:t>
            </w:r>
            <w:r w:rsidR="00CE65CC">
              <w:rPr>
                <w:rFonts w:cs="Arial"/>
                <w:szCs w:val="18"/>
              </w:rPr>
              <w:t>,</w:t>
            </w:r>
            <w:r w:rsidRPr="00056FFE">
              <w:rPr>
                <w:rFonts w:cs="Arial"/>
                <w:szCs w:val="18"/>
              </w:rPr>
              <w:t xml:space="preserve"> NOAEL ≥ </w:t>
            </w:r>
            <w:r w:rsidR="00986C4F">
              <w:rPr>
                <w:rFonts w:cs="Arial"/>
                <w:szCs w:val="18"/>
              </w:rPr>
              <w:t>7</w:t>
            </w:r>
            <w:r w:rsidR="00986C4F">
              <w:rPr>
                <w:rFonts w:cs="Arial"/>
              </w:rPr>
              <w:t>4</w:t>
            </w:r>
            <w:r w:rsidR="00947E4F">
              <w:rPr>
                <w:rFonts w:cs="Arial"/>
              </w:rPr>
              <w:t>56</w:t>
            </w:r>
            <w:r w:rsidR="00986C4F" w:rsidRPr="00056FFE">
              <w:rPr>
                <w:rFonts w:cs="Arial"/>
                <w:szCs w:val="18"/>
              </w:rPr>
              <w:t xml:space="preserve"> </w:t>
            </w:r>
            <w:r w:rsidRPr="00056FFE">
              <w:rPr>
                <w:rFonts w:cs="Arial"/>
                <w:szCs w:val="18"/>
              </w:rPr>
              <w:t>mg/kg-bw/d</w:t>
            </w:r>
            <w:r w:rsidR="007C1C09" w:rsidRPr="00056FFE">
              <w:rPr>
                <w:rFonts w:cs="Arial"/>
                <w:szCs w:val="18"/>
              </w:rPr>
              <w:t>. No effects on embryofetal development</w:t>
            </w:r>
            <w:r w:rsidR="00CE65CC">
              <w:rPr>
                <w:rFonts w:cs="Arial"/>
                <w:szCs w:val="18"/>
              </w:rPr>
              <w:t>.</w:t>
            </w:r>
          </w:p>
        </w:tc>
      </w:tr>
      <w:tr w:rsidR="00313E6F" w:rsidRPr="00056FFE" w14:paraId="25F61332" w14:textId="77777777" w:rsidTr="00887BD1">
        <w:trPr>
          <w:cantSplit/>
          <w:jc w:val="center"/>
        </w:trPr>
        <w:tc>
          <w:tcPr>
            <w:tcW w:w="1335" w:type="pct"/>
          </w:tcPr>
          <w:p w14:paraId="73AA8D3D" w14:textId="04814739" w:rsidR="00313E6F" w:rsidRPr="00056FFE" w:rsidRDefault="00313E6F" w:rsidP="008621D9">
            <w:pPr>
              <w:pStyle w:val="DDLBodyText"/>
              <w:spacing w:after="120"/>
              <w:rPr>
                <w:rFonts w:cs="Arial"/>
                <w:szCs w:val="18"/>
              </w:rPr>
            </w:pPr>
            <w:r w:rsidRPr="00056FFE">
              <w:rPr>
                <w:rFonts w:cs="Arial"/>
                <w:szCs w:val="18"/>
              </w:rPr>
              <w:t xml:space="preserve">FEED </w:t>
            </w:r>
            <w:r w:rsidR="00FF443A" w:rsidRPr="00056FFE">
              <w:rPr>
                <w:rFonts w:cs="Arial"/>
                <w:szCs w:val="18"/>
              </w:rPr>
              <w:t>(rat)</w:t>
            </w:r>
            <w:r w:rsidRPr="00056FFE">
              <w:rPr>
                <w:rFonts w:cs="Arial"/>
                <w:szCs w:val="18"/>
              </w:rPr>
              <w:t xml:space="preserve"> (GLP)</w:t>
            </w:r>
            <w:r w:rsidR="004C683A" w:rsidRPr="00056FFE">
              <w:rPr>
                <w:rFonts w:cs="Arial"/>
                <w:szCs w:val="18"/>
              </w:rPr>
              <w:t xml:space="preserve"> </w:t>
            </w:r>
            <w:r w:rsidR="00F579FD">
              <w:rPr>
                <w:rFonts w:cs="Arial"/>
                <w:szCs w:val="18"/>
                <w:vertAlign w:val="superscript"/>
              </w:rPr>
              <w:t>b</w:t>
            </w:r>
          </w:p>
        </w:tc>
        <w:tc>
          <w:tcPr>
            <w:tcW w:w="3665" w:type="pct"/>
          </w:tcPr>
          <w:p w14:paraId="70F945C2" w14:textId="3EB65A19" w:rsidR="000D60A3" w:rsidRPr="00056FFE" w:rsidRDefault="00013A08" w:rsidP="008621D9">
            <w:pPr>
              <w:pStyle w:val="DDLBodyText"/>
              <w:spacing w:after="120"/>
              <w:rPr>
                <w:rFonts w:cs="Arial"/>
                <w:szCs w:val="18"/>
              </w:rPr>
            </w:pPr>
            <w:r w:rsidRPr="00056FFE">
              <w:rPr>
                <w:rFonts w:cs="Arial"/>
                <w:szCs w:val="18"/>
              </w:rPr>
              <w:t xml:space="preserve">NOAEC ≥ </w:t>
            </w:r>
            <w:r w:rsidR="00271244" w:rsidRPr="00056FFE">
              <w:rPr>
                <w:rFonts w:cs="Arial"/>
                <w:szCs w:val="18"/>
              </w:rPr>
              <w:t>30000 ppm (2 h/d)</w:t>
            </w:r>
            <w:r w:rsidR="00CE65CC">
              <w:rPr>
                <w:rFonts w:cs="Arial"/>
                <w:szCs w:val="18"/>
              </w:rPr>
              <w:t>,</w:t>
            </w:r>
            <w:r w:rsidR="00271244" w:rsidRPr="00056FFE">
              <w:rPr>
                <w:rFonts w:cs="Arial"/>
                <w:szCs w:val="18"/>
              </w:rPr>
              <w:t xml:space="preserve"> NOAEL </w:t>
            </w:r>
            <w:r w:rsidR="00887BD1">
              <w:rPr>
                <w:rFonts w:cs="Arial"/>
                <w:szCs w:val="18"/>
              </w:rPr>
              <w:t xml:space="preserve">(male) </w:t>
            </w:r>
            <w:r w:rsidR="00271244" w:rsidRPr="00056FFE">
              <w:rPr>
                <w:rFonts w:cs="Arial"/>
                <w:szCs w:val="18"/>
              </w:rPr>
              <w:t xml:space="preserve">≥ </w:t>
            </w:r>
            <w:r w:rsidR="00F820C4">
              <w:rPr>
                <w:rFonts w:cs="Arial"/>
                <w:szCs w:val="18"/>
              </w:rPr>
              <w:t>6</w:t>
            </w:r>
            <w:r w:rsidR="00F820C4">
              <w:rPr>
                <w:rFonts w:cs="Arial"/>
              </w:rPr>
              <w:t>760</w:t>
            </w:r>
            <w:r w:rsidR="00F820C4" w:rsidRPr="00056FFE">
              <w:rPr>
                <w:rFonts w:cs="Arial"/>
                <w:szCs w:val="18"/>
              </w:rPr>
              <w:t xml:space="preserve"> </w:t>
            </w:r>
            <w:r w:rsidR="00271244" w:rsidRPr="00056FFE">
              <w:rPr>
                <w:rFonts w:cs="Arial"/>
                <w:szCs w:val="18"/>
              </w:rPr>
              <w:t>mg/kg-bw/d</w:t>
            </w:r>
            <w:r w:rsidR="00CE65CC">
              <w:rPr>
                <w:rFonts w:cs="Arial"/>
                <w:szCs w:val="18"/>
              </w:rPr>
              <w:t xml:space="preserve">, </w:t>
            </w:r>
            <w:r w:rsidR="00887BD1">
              <w:rPr>
                <w:rFonts w:cs="Arial"/>
                <w:szCs w:val="18"/>
              </w:rPr>
              <w:t>NOAEL (female) ≥ 7195 mg/kg-bw/d.</w:t>
            </w:r>
            <w:r w:rsidR="00B7616B">
              <w:rPr>
                <w:rFonts w:cs="Arial"/>
                <w:szCs w:val="18"/>
              </w:rPr>
              <w:t xml:space="preserve"> </w:t>
            </w:r>
            <w:r w:rsidR="000D60A3" w:rsidRPr="00056FFE">
              <w:rPr>
                <w:rFonts w:cs="Arial"/>
                <w:szCs w:val="18"/>
              </w:rPr>
              <w:t>No effects on fertility or early embryonic development</w:t>
            </w:r>
            <w:r w:rsidR="00CE65CC">
              <w:rPr>
                <w:rFonts w:cs="Arial"/>
                <w:szCs w:val="18"/>
              </w:rPr>
              <w:t>.</w:t>
            </w:r>
          </w:p>
        </w:tc>
      </w:tr>
      <w:tr w:rsidR="00B7616B" w:rsidRPr="00056FFE" w14:paraId="56555AC2" w14:textId="77777777" w:rsidTr="00887BD1">
        <w:trPr>
          <w:cantSplit/>
          <w:jc w:val="center"/>
        </w:trPr>
        <w:tc>
          <w:tcPr>
            <w:tcW w:w="1335" w:type="pct"/>
          </w:tcPr>
          <w:p w14:paraId="67933461" w14:textId="0CDD2E4D" w:rsidR="00B7616B" w:rsidRPr="00056FFE" w:rsidRDefault="00B7616B" w:rsidP="008621D9">
            <w:pPr>
              <w:pStyle w:val="DDLBodyText"/>
              <w:spacing w:after="120"/>
              <w:rPr>
                <w:rFonts w:cs="Arial"/>
                <w:szCs w:val="18"/>
              </w:rPr>
            </w:pPr>
            <w:r>
              <w:rPr>
                <w:rFonts w:cs="Arial"/>
                <w:szCs w:val="18"/>
              </w:rPr>
              <w:t xml:space="preserve">Juvenile (rat) (GLP) </w:t>
            </w:r>
            <w:r w:rsidRPr="00C938FD">
              <w:rPr>
                <w:rFonts w:cs="Arial"/>
                <w:szCs w:val="18"/>
                <w:vertAlign w:val="superscript"/>
              </w:rPr>
              <w:t>a</w:t>
            </w:r>
          </w:p>
        </w:tc>
        <w:tc>
          <w:tcPr>
            <w:tcW w:w="3665" w:type="pct"/>
          </w:tcPr>
          <w:p w14:paraId="154D6CD8" w14:textId="74AB3544" w:rsidR="00B7616B" w:rsidRPr="00056FFE" w:rsidRDefault="00B7616B" w:rsidP="008621D9">
            <w:pPr>
              <w:pStyle w:val="DDLBodyText"/>
              <w:spacing w:after="120"/>
              <w:rPr>
                <w:rFonts w:cs="Arial"/>
                <w:szCs w:val="18"/>
              </w:rPr>
            </w:pPr>
            <w:r>
              <w:rPr>
                <w:rFonts w:cs="Arial"/>
                <w:szCs w:val="18"/>
              </w:rPr>
              <w:t>NOAEC ≥ 30000 ppm (2 h/d)</w:t>
            </w:r>
            <w:r w:rsidR="00CE65CC">
              <w:rPr>
                <w:rFonts w:cs="Arial"/>
                <w:szCs w:val="18"/>
              </w:rPr>
              <w:t>,</w:t>
            </w:r>
            <w:r>
              <w:rPr>
                <w:rFonts w:cs="Arial"/>
                <w:szCs w:val="18"/>
              </w:rPr>
              <w:t xml:space="preserve"> NOAEL ≥ 6263 mg/kg-bw/d. No </w:t>
            </w:r>
            <w:r w:rsidR="003536B0">
              <w:rPr>
                <w:rFonts w:cs="Arial"/>
                <w:szCs w:val="18"/>
              </w:rPr>
              <w:t xml:space="preserve">toxicity or </w:t>
            </w:r>
            <w:r>
              <w:rPr>
                <w:rFonts w:cs="Arial"/>
                <w:szCs w:val="18"/>
              </w:rPr>
              <w:t>effects on neurodevelopment; exposures initiated in rats at 21 days of age</w:t>
            </w:r>
            <w:r w:rsidR="00CE65CC">
              <w:rPr>
                <w:rFonts w:cs="Arial"/>
                <w:szCs w:val="18"/>
              </w:rPr>
              <w:t>.</w:t>
            </w:r>
          </w:p>
        </w:tc>
      </w:tr>
      <w:tr w:rsidR="00313E6F" w:rsidRPr="00056FFE" w14:paraId="5DFEF0D3" w14:textId="77777777" w:rsidTr="008621D9">
        <w:trPr>
          <w:cantSplit/>
          <w:jc w:val="center"/>
        </w:trPr>
        <w:tc>
          <w:tcPr>
            <w:tcW w:w="5000" w:type="pct"/>
            <w:gridSpan w:val="2"/>
            <w:tcBorders>
              <w:top w:val="single" w:sz="4" w:space="0" w:color="auto"/>
              <w:bottom w:val="single" w:sz="4" w:space="0" w:color="auto"/>
            </w:tcBorders>
            <w:shd w:val="clear" w:color="auto" w:fill="D9D9D9" w:themeFill="background1" w:themeFillShade="D9"/>
          </w:tcPr>
          <w:p w14:paraId="147B6C85" w14:textId="77777777" w:rsidR="00313E6F" w:rsidRPr="00056FFE" w:rsidRDefault="00313E6F" w:rsidP="008621D9">
            <w:pPr>
              <w:pStyle w:val="DDLBodyText"/>
              <w:spacing w:after="120"/>
              <w:rPr>
                <w:rFonts w:cs="Arial"/>
                <w:b/>
                <w:i/>
                <w:szCs w:val="18"/>
              </w:rPr>
            </w:pPr>
            <w:r w:rsidRPr="00056FFE">
              <w:rPr>
                <w:rFonts w:cs="Arial"/>
                <w:b/>
                <w:i/>
                <w:szCs w:val="18"/>
              </w:rPr>
              <w:t>Specialized Safety Pharmacology Studies</w:t>
            </w:r>
          </w:p>
        </w:tc>
      </w:tr>
      <w:tr w:rsidR="00313E6F" w:rsidRPr="00056FFE" w14:paraId="733689BD" w14:textId="77777777" w:rsidTr="00887BD1">
        <w:trPr>
          <w:cantSplit/>
          <w:jc w:val="center"/>
        </w:trPr>
        <w:tc>
          <w:tcPr>
            <w:tcW w:w="1335" w:type="pct"/>
            <w:tcBorders>
              <w:top w:val="single" w:sz="4" w:space="0" w:color="auto"/>
            </w:tcBorders>
          </w:tcPr>
          <w:p w14:paraId="2DA0C02D" w14:textId="0E44123B" w:rsidR="00313E6F" w:rsidRPr="00056FFE" w:rsidRDefault="00FF443A" w:rsidP="008621D9">
            <w:pPr>
              <w:pStyle w:val="DDLBodyText"/>
              <w:spacing w:after="120"/>
              <w:rPr>
                <w:rFonts w:cs="Arial"/>
                <w:szCs w:val="18"/>
              </w:rPr>
            </w:pPr>
            <w:r w:rsidRPr="00056FFE">
              <w:rPr>
                <w:rFonts w:cs="Arial"/>
                <w:szCs w:val="18"/>
              </w:rPr>
              <w:t>S</w:t>
            </w:r>
            <w:r w:rsidR="00313E6F" w:rsidRPr="00056FFE">
              <w:rPr>
                <w:rFonts w:cs="Arial"/>
                <w:szCs w:val="18"/>
              </w:rPr>
              <w:t>ensiti</w:t>
            </w:r>
            <w:r w:rsidR="00B66744" w:rsidRPr="00056FFE">
              <w:rPr>
                <w:rFonts w:cs="Arial"/>
                <w:szCs w:val="18"/>
              </w:rPr>
              <w:t>z</w:t>
            </w:r>
            <w:r w:rsidR="00313E6F" w:rsidRPr="00056FFE">
              <w:rPr>
                <w:rFonts w:cs="Arial"/>
                <w:szCs w:val="18"/>
              </w:rPr>
              <w:t>ation</w:t>
            </w:r>
            <w:r w:rsidRPr="00056FFE">
              <w:rPr>
                <w:rFonts w:cs="Arial"/>
                <w:szCs w:val="18"/>
              </w:rPr>
              <w:t>, respiratory</w:t>
            </w:r>
            <w:r w:rsidR="00313E6F" w:rsidRPr="00056FFE">
              <w:rPr>
                <w:rFonts w:cs="Arial"/>
                <w:szCs w:val="18"/>
              </w:rPr>
              <w:t xml:space="preserve"> (</w:t>
            </w:r>
            <w:r w:rsidRPr="00056FFE">
              <w:rPr>
                <w:rFonts w:cs="Arial"/>
                <w:szCs w:val="18"/>
              </w:rPr>
              <w:t>d</w:t>
            </w:r>
            <w:r w:rsidR="00313E6F" w:rsidRPr="00056FFE">
              <w:rPr>
                <w:rFonts w:cs="Arial"/>
                <w:szCs w:val="18"/>
              </w:rPr>
              <w:t>og)</w:t>
            </w:r>
            <w:r w:rsidR="000927F7" w:rsidRPr="00056FFE">
              <w:rPr>
                <w:rFonts w:cs="Arial"/>
                <w:szCs w:val="18"/>
                <w:vertAlign w:val="superscript"/>
              </w:rPr>
              <w:t xml:space="preserve"> </w:t>
            </w:r>
            <w:r w:rsidR="00F579FD">
              <w:rPr>
                <w:rFonts w:cs="Arial"/>
                <w:szCs w:val="18"/>
                <w:vertAlign w:val="superscript"/>
              </w:rPr>
              <w:t>a</w:t>
            </w:r>
          </w:p>
        </w:tc>
        <w:tc>
          <w:tcPr>
            <w:tcW w:w="3665" w:type="pct"/>
            <w:tcBorders>
              <w:top w:val="single" w:sz="4" w:space="0" w:color="auto"/>
            </w:tcBorders>
          </w:tcPr>
          <w:p w14:paraId="18579687" w14:textId="672756C8" w:rsidR="00313E6F" w:rsidRPr="00056FFE" w:rsidRDefault="00313E6F" w:rsidP="008621D9">
            <w:pPr>
              <w:pStyle w:val="DDLBodyText"/>
              <w:spacing w:after="120"/>
              <w:rPr>
                <w:rFonts w:cs="Arial"/>
                <w:szCs w:val="18"/>
              </w:rPr>
            </w:pPr>
            <w:r w:rsidRPr="00056FFE">
              <w:rPr>
                <w:rFonts w:cs="Arial"/>
                <w:szCs w:val="18"/>
              </w:rPr>
              <w:t xml:space="preserve">NOAEC </w:t>
            </w:r>
            <w:r w:rsidR="007C1C09" w:rsidRPr="00056FFE">
              <w:rPr>
                <w:rFonts w:cs="Arial"/>
                <w:szCs w:val="18"/>
              </w:rPr>
              <w:t>≥</w:t>
            </w:r>
            <w:r w:rsidRPr="00056FFE">
              <w:rPr>
                <w:rFonts w:cs="Arial"/>
                <w:szCs w:val="18"/>
              </w:rPr>
              <w:t xml:space="preserve"> 150000 ppm </w:t>
            </w:r>
            <w:r w:rsidR="00097ECC" w:rsidRPr="00056FFE">
              <w:rPr>
                <w:rFonts w:cs="Arial"/>
                <w:szCs w:val="18"/>
              </w:rPr>
              <w:t>(1 h/d</w:t>
            </w:r>
            <w:r w:rsidR="00361753" w:rsidRPr="00056FFE">
              <w:rPr>
                <w:rFonts w:cs="Arial"/>
                <w:szCs w:val="18"/>
              </w:rPr>
              <w:t xml:space="preserve"> for 10 consecutive days</w:t>
            </w:r>
            <w:r w:rsidR="00097ECC" w:rsidRPr="00056FFE">
              <w:rPr>
                <w:rFonts w:cs="Arial"/>
                <w:szCs w:val="18"/>
              </w:rPr>
              <w:t>)</w:t>
            </w:r>
            <w:r w:rsidR="00126944" w:rsidRPr="00056FFE">
              <w:rPr>
                <w:rFonts w:cs="Arial"/>
                <w:szCs w:val="18"/>
              </w:rPr>
              <w:t>.</w:t>
            </w:r>
            <w:r w:rsidR="00361753" w:rsidRPr="00056FFE">
              <w:rPr>
                <w:rFonts w:cs="Arial"/>
                <w:szCs w:val="18"/>
              </w:rPr>
              <w:t xml:space="preserve"> </w:t>
            </w:r>
            <w:r w:rsidR="00126944" w:rsidRPr="00056FFE">
              <w:rPr>
                <w:rFonts w:cs="Arial"/>
                <w:szCs w:val="18"/>
              </w:rPr>
              <w:t>No r</w:t>
            </w:r>
            <w:r w:rsidRPr="00056FFE">
              <w:rPr>
                <w:rFonts w:cs="Arial"/>
                <w:szCs w:val="18"/>
              </w:rPr>
              <w:t>espiratory irritation or sensiti</w:t>
            </w:r>
            <w:r w:rsidR="00B66744" w:rsidRPr="00056FFE">
              <w:rPr>
                <w:rFonts w:cs="Arial"/>
                <w:szCs w:val="18"/>
              </w:rPr>
              <w:t>z</w:t>
            </w:r>
            <w:r w:rsidRPr="00056FFE">
              <w:rPr>
                <w:rFonts w:cs="Arial"/>
                <w:szCs w:val="18"/>
              </w:rPr>
              <w:t xml:space="preserve">ation in </w:t>
            </w:r>
            <w:r w:rsidR="00126944" w:rsidRPr="00056FFE">
              <w:rPr>
                <w:rFonts w:cs="Arial"/>
                <w:szCs w:val="18"/>
              </w:rPr>
              <w:t xml:space="preserve">beagle </w:t>
            </w:r>
            <w:r w:rsidRPr="00056FFE">
              <w:rPr>
                <w:rFonts w:cs="Arial"/>
                <w:szCs w:val="18"/>
              </w:rPr>
              <w:t>dogs with allergic asthma</w:t>
            </w:r>
            <w:r w:rsidR="0035193C" w:rsidRPr="00056FFE">
              <w:rPr>
                <w:rFonts w:cs="Arial"/>
                <w:szCs w:val="18"/>
              </w:rPr>
              <w:t>.</w:t>
            </w:r>
          </w:p>
        </w:tc>
      </w:tr>
      <w:tr w:rsidR="00313E6F" w:rsidRPr="00056FFE" w14:paraId="7994842F" w14:textId="77777777" w:rsidTr="00887BD1">
        <w:trPr>
          <w:cantSplit/>
          <w:jc w:val="center"/>
        </w:trPr>
        <w:tc>
          <w:tcPr>
            <w:tcW w:w="1335" w:type="pct"/>
          </w:tcPr>
          <w:p w14:paraId="0E4F098E" w14:textId="07D07998" w:rsidR="00313E6F" w:rsidRPr="00056FFE" w:rsidRDefault="00FF443A" w:rsidP="008621D9">
            <w:pPr>
              <w:pStyle w:val="DDLBodyText"/>
              <w:spacing w:after="120"/>
              <w:rPr>
                <w:rFonts w:cs="Arial"/>
                <w:szCs w:val="18"/>
              </w:rPr>
            </w:pPr>
            <w:r w:rsidRPr="00056FFE">
              <w:rPr>
                <w:rFonts w:cs="Arial"/>
                <w:szCs w:val="18"/>
              </w:rPr>
              <w:t>Sensitization, respiratory</w:t>
            </w:r>
            <w:r w:rsidR="00313E6F" w:rsidRPr="00056FFE">
              <w:rPr>
                <w:rFonts w:cs="Arial"/>
                <w:szCs w:val="18"/>
              </w:rPr>
              <w:t xml:space="preserve"> (</w:t>
            </w:r>
            <w:r w:rsidRPr="00056FFE">
              <w:rPr>
                <w:rFonts w:cs="Arial"/>
                <w:szCs w:val="18"/>
              </w:rPr>
              <w:t>g</w:t>
            </w:r>
            <w:r w:rsidR="00313E6F" w:rsidRPr="00056FFE">
              <w:rPr>
                <w:rFonts w:cs="Arial"/>
                <w:szCs w:val="18"/>
              </w:rPr>
              <w:t>uinea pig)</w:t>
            </w:r>
            <w:r w:rsidR="000927F7" w:rsidRPr="00056FFE">
              <w:rPr>
                <w:rFonts w:cs="Arial"/>
                <w:szCs w:val="18"/>
                <w:vertAlign w:val="superscript"/>
              </w:rPr>
              <w:t xml:space="preserve"> </w:t>
            </w:r>
            <w:r w:rsidR="00F579FD">
              <w:rPr>
                <w:rFonts w:cs="Arial"/>
                <w:szCs w:val="18"/>
                <w:vertAlign w:val="superscript"/>
              </w:rPr>
              <w:t>a</w:t>
            </w:r>
          </w:p>
        </w:tc>
        <w:tc>
          <w:tcPr>
            <w:tcW w:w="3665" w:type="pct"/>
          </w:tcPr>
          <w:p w14:paraId="4EE67147" w14:textId="6B3911D7" w:rsidR="00313E6F" w:rsidRPr="00056FFE" w:rsidRDefault="00313E6F" w:rsidP="008621D9">
            <w:pPr>
              <w:pStyle w:val="DDLBodyText"/>
              <w:spacing w:after="120"/>
              <w:rPr>
                <w:rFonts w:cs="Arial"/>
                <w:szCs w:val="18"/>
              </w:rPr>
            </w:pPr>
            <w:r w:rsidRPr="00056FFE">
              <w:rPr>
                <w:rFonts w:cs="Arial"/>
                <w:szCs w:val="18"/>
              </w:rPr>
              <w:t xml:space="preserve">NOAEC </w:t>
            </w:r>
            <w:r w:rsidR="007C1C09" w:rsidRPr="00056FFE">
              <w:rPr>
                <w:rFonts w:cs="Arial"/>
                <w:szCs w:val="18"/>
              </w:rPr>
              <w:t>≥</w:t>
            </w:r>
            <w:r w:rsidRPr="00056FFE">
              <w:rPr>
                <w:rFonts w:cs="Arial"/>
                <w:szCs w:val="18"/>
              </w:rPr>
              <w:t xml:space="preserve"> 150000 ppm </w:t>
            </w:r>
            <w:r w:rsidR="00097ECC" w:rsidRPr="00056FFE">
              <w:rPr>
                <w:rFonts w:cs="Arial"/>
                <w:szCs w:val="18"/>
              </w:rPr>
              <w:t>(2 h/d)</w:t>
            </w:r>
            <w:r w:rsidR="007C1C09" w:rsidRPr="00056FFE">
              <w:rPr>
                <w:rFonts w:cs="Arial"/>
                <w:szCs w:val="18"/>
              </w:rPr>
              <w:t xml:space="preserve">. </w:t>
            </w:r>
            <w:r w:rsidR="00126944" w:rsidRPr="00056FFE">
              <w:rPr>
                <w:rFonts w:cs="Arial"/>
                <w:szCs w:val="18"/>
              </w:rPr>
              <w:t>No r</w:t>
            </w:r>
            <w:r w:rsidRPr="00056FFE">
              <w:rPr>
                <w:rFonts w:cs="Arial"/>
                <w:szCs w:val="18"/>
              </w:rPr>
              <w:t>espiratory sensiti</w:t>
            </w:r>
            <w:r w:rsidR="00B66744" w:rsidRPr="00056FFE">
              <w:rPr>
                <w:rFonts w:cs="Arial"/>
                <w:szCs w:val="18"/>
              </w:rPr>
              <w:t>z</w:t>
            </w:r>
            <w:r w:rsidRPr="00056FFE">
              <w:rPr>
                <w:rFonts w:cs="Arial"/>
                <w:szCs w:val="18"/>
              </w:rPr>
              <w:t>ation</w:t>
            </w:r>
            <w:r w:rsidR="00D03B59">
              <w:rPr>
                <w:rFonts w:cs="Arial"/>
                <w:szCs w:val="18"/>
              </w:rPr>
              <w:t>.</w:t>
            </w:r>
          </w:p>
        </w:tc>
      </w:tr>
      <w:tr w:rsidR="00FF443A" w:rsidRPr="00056FFE" w14:paraId="6571957D" w14:textId="77777777" w:rsidTr="00887BD1">
        <w:trPr>
          <w:cantSplit/>
          <w:jc w:val="center"/>
        </w:trPr>
        <w:tc>
          <w:tcPr>
            <w:tcW w:w="1335" w:type="pct"/>
            <w:tcBorders>
              <w:bottom w:val="single" w:sz="4" w:space="0" w:color="auto"/>
            </w:tcBorders>
          </w:tcPr>
          <w:p w14:paraId="721BD942" w14:textId="107AF6B3" w:rsidR="00FF443A" w:rsidRPr="00056FFE" w:rsidRDefault="00FF443A" w:rsidP="008621D9">
            <w:pPr>
              <w:pStyle w:val="DDLBodyText"/>
              <w:spacing w:after="120"/>
              <w:rPr>
                <w:rFonts w:cs="Arial"/>
                <w:szCs w:val="18"/>
              </w:rPr>
            </w:pPr>
            <w:r w:rsidRPr="00056FFE">
              <w:rPr>
                <w:rFonts w:cs="Arial"/>
                <w:szCs w:val="18"/>
              </w:rPr>
              <w:t>Sensitization, cardiac (dog)</w:t>
            </w:r>
            <w:r w:rsidR="000927F7" w:rsidRPr="00056FFE">
              <w:rPr>
                <w:rFonts w:cs="Arial"/>
                <w:szCs w:val="18"/>
                <w:vertAlign w:val="superscript"/>
              </w:rPr>
              <w:t xml:space="preserve"> </w:t>
            </w:r>
            <w:r w:rsidR="00F579FD">
              <w:rPr>
                <w:rFonts w:cs="Arial"/>
                <w:szCs w:val="18"/>
                <w:vertAlign w:val="superscript"/>
              </w:rPr>
              <w:t>a</w:t>
            </w:r>
          </w:p>
        </w:tc>
        <w:tc>
          <w:tcPr>
            <w:tcW w:w="3665" w:type="pct"/>
            <w:tcBorders>
              <w:bottom w:val="single" w:sz="4" w:space="0" w:color="auto"/>
            </w:tcBorders>
          </w:tcPr>
          <w:p w14:paraId="316AB369" w14:textId="076E677C" w:rsidR="00FF443A" w:rsidRPr="00056FFE" w:rsidRDefault="00FF443A" w:rsidP="008621D9">
            <w:pPr>
              <w:pStyle w:val="DDLBodyText"/>
              <w:spacing w:after="120"/>
              <w:rPr>
                <w:rFonts w:cs="Arial"/>
                <w:szCs w:val="18"/>
              </w:rPr>
            </w:pPr>
            <w:r w:rsidRPr="00056FFE">
              <w:rPr>
                <w:rFonts w:cs="Arial"/>
                <w:szCs w:val="18"/>
              </w:rPr>
              <w:t xml:space="preserve">NOAEC </w:t>
            </w:r>
            <w:r w:rsidR="007C1C09" w:rsidRPr="00056FFE">
              <w:rPr>
                <w:rFonts w:cs="Arial"/>
                <w:szCs w:val="18"/>
              </w:rPr>
              <w:t>≥</w:t>
            </w:r>
            <w:r w:rsidRPr="00056FFE">
              <w:rPr>
                <w:rFonts w:cs="Arial"/>
                <w:szCs w:val="18"/>
              </w:rPr>
              <w:t xml:space="preserve"> 150000 ppm (1 h/d). No cardiac sensitization</w:t>
            </w:r>
            <w:r w:rsidR="00D03B59">
              <w:rPr>
                <w:rFonts w:cs="Arial"/>
                <w:szCs w:val="18"/>
              </w:rPr>
              <w:t>.</w:t>
            </w:r>
          </w:p>
        </w:tc>
      </w:tr>
      <w:tr w:rsidR="00FF443A" w:rsidRPr="00056FFE" w14:paraId="03056D7A" w14:textId="77777777" w:rsidTr="008621D9">
        <w:trPr>
          <w:cantSplit/>
          <w:jc w:val="center"/>
        </w:trPr>
        <w:tc>
          <w:tcPr>
            <w:tcW w:w="5000" w:type="pct"/>
            <w:gridSpan w:val="2"/>
            <w:tcBorders>
              <w:top w:val="single" w:sz="4" w:space="0" w:color="auto"/>
              <w:bottom w:val="single" w:sz="4" w:space="0" w:color="auto"/>
            </w:tcBorders>
            <w:shd w:val="clear" w:color="auto" w:fill="D9D9D9" w:themeFill="background1" w:themeFillShade="D9"/>
          </w:tcPr>
          <w:p w14:paraId="51A005A5" w14:textId="19CDD09F" w:rsidR="00FF443A" w:rsidRPr="00056FFE" w:rsidRDefault="00FF443A" w:rsidP="008621D9">
            <w:pPr>
              <w:pStyle w:val="DDLBodyText"/>
              <w:spacing w:after="120"/>
              <w:rPr>
                <w:rFonts w:cs="Arial"/>
                <w:b/>
                <w:i/>
                <w:szCs w:val="18"/>
              </w:rPr>
            </w:pPr>
            <w:r w:rsidRPr="00056FFE">
              <w:rPr>
                <w:rFonts w:cs="Arial"/>
                <w:b/>
                <w:i/>
                <w:szCs w:val="18"/>
              </w:rPr>
              <w:t xml:space="preserve">Genotoxicity </w:t>
            </w:r>
          </w:p>
        </w:tc>
      </w:tr>
      <w:tr w:rsidR="00FF443A" w:rsidRPr="00056FFE" w14:paraId="0B70E207" w14:textId="77777777" w:rsidTr="00887BD1">
        <w:trPr>
          <w:cantSplit/>
          <w:jc w:val="center"/>
        </w:trPr>
        <w:tc>
          <w:tcPr>
            <w:tcW w:w="1335" w:type="pct"/>
            <w:tcBorders>
              <w:top w:val="single" w:sz="4" w:space="0" w:color="auto"/>
            </w:tcBorders>
          </w:tcPr>
          <w:p w14:paraId="02458F55" w14:textId="17BA03D9" w:rsidR="00FF443A" w:rsidRPr="00056FFE" w:rsidRDefault="00FF443A" w:rsidP="008621D9">
            <w:pPr>
              <w:pStyle w:val="DDLBodyText"/>
              <w:spacing w:after="120"/>
              <w:rPr>
                <w:rFonts w:cs="Arial"/>
                <w:szCs w:val="18"/>
              </w:rPr>
            </w:pPr>
            <w:r w:rsidRPr="00056FFE">
              <w:rPr>
                <w:rFonts w:cs="Arial"/>
                <w:szCs w:val="18"/>
              </w:rPr>
              <w:t xml:space="preserve">In vitro </w:t>
            </w:r>
            <w:r w:rsidR="005F47A1" w:rsidRPr="00056FFE">
              <w:rPr>
                <w:rFonts w:cs="Arial"/>
                <w:szCs w:val="18"/>
              </w:rPr>
              <w:t>b</w:t>
            </w:r>
            <w:r w:rsidRPr="00056FFE">
              <w:rPr>
                <w:rFonts w:cs="Arial"/>
                <w:szCs w:val="18"/>
              </w:rPr>
              <w:t xml:space="preserve">acterial </w:t>
            </w:r>
            <w:r w:rsidR="005F47A1" w:rsidRPr="00056FFE">
              <w:rPr>
                <w:rFonts w:cs="Arial"/>
                <w:szCs w:val="18"/>
              </w:rPr>
              <w:t>r</w:t>
            </w:r>
            <w:r w:rsidRPr="00056FFE">
              <w:rPr>
                <w:rFonts w:cs="Arial"/>
                <w:szCs w:val="18"/>
              </w:rPr>
              <w:t xml:space="preserve">everse </w:t>
            </w:r>
            <w:r w:rsidR="005F47A1" w:rsidRPr="00056FFE">
              <w:rPr>
                <w:rFonts w:cs="Arial"/>
                <w:szCs w:val="18"/>
              </w:rPr>
              <w:t>m</w:t>
            </w:r>
            <w:r w:rsidRPr="00056FFE">
              <w:rPr>
                <w:rFonts w:cs="Arial"/>
                <w:szCs w:val="18"/>
              </w:rPr>
              <w:t>utagenicity (Ames) (GLP)</w:t>
            </w:r>
            <w:r w:rsidR="000927F7" w:rsidRPr="00056FFE">
              <w:rPr>
                <w:rFonts w:cs="Arial"/>
                <w:szCs w:val="18"/>
                <w:vertAlign w:val="superscript"/>
              </w:rPr>
              <w:t xml:space="preserve"> </w:t>
            </w:r>
            <w:r w:rsidR="00F579FD">
              <w:rPr>
                <w:rFonts w:cs="Arial"/>
                <w:szCs w:val="18"/>
                <w:vertAlign w:val="superscript"/>
              </w:rPr>
              <w:t>a</w:t>
            </w:r>
          </w:p>
        </w:tc>
        <w:tc>
          <w:tcPr>
            <w:tcW w:w="3665" w:type="pct"/>
            <w:tcBorders>
              <w:top w:val="single" w:sz="4" w:space="0" w:color="auto"/>
            </w:tcBorders>
          </w:tcPr>
          <w:p w14:paraId="41985139" w14:textId="4E3D0406" w:rsidR="00FF443A" w:rsidRPr="00056FFE" w:rsidRDefault="00FF443A" w:rsidP="008621D9">
            <w:pPr>
              <w:pStyle w:val="DDLBodyText"/>
              <w:spacing w:after="120"/>
              <w:rPr>
                <w:rFonts w:cs="Arial"/>
                <w:szCs w:val="18"/>
              </w:rPr>
            </w:pPr>
            <w:r w:rsidRPr="00056FFE">
              <w:rPr>
                <w:rFonts w:cs="Arial"/>
                <w:szCs w:val="18"/>
              </w:rPr>
              <w:t xml:space="preserve">Negative. </w:t>
            </w:r>
            <w:r w:rsidRPr="00056FFE">
              <w:rPr>
                <w:rFonts w:cs="Arial"/>
                <w:i/>
                <w:szCs w:val="18"/>
              </w:rPr>
              <w:t>S. typhimurium</w:t>
            </w:r>
            <w:r w:rsidRPr="00056FFE">
              <w:rPr>
                <w:rFonts w:cs="Arial"/>
                <w:szCs w:val="18"/>
              </w:rPr>
              <w:t xml:space="preserve"> TA 97a, TA98, TA100, TA1535 and</w:t>
            </w:r>
            <w:r w:rsidRPr="00056FFE">
              <w:rPr>
                <w:rFonts w:cs="Arial"/>
                <w:i/>
                <w:szCs w:val="18"/>
              </w:rPr>
              <w:t xml:space="preserve"> E. coli </w:t>
            </w:r>
            <w:r w:rsidRPr="00056FFE">
              <w:rPr>
                <w:rFonts w:cs="Arial"/>
                <w:szCs w:val="18"/>
              </w:rPr>
              <w:t>WP</w:t>
            </w:r>
            <w:r w:rsidR="002A0027" w:rsidRPr="00056FFE">
              <w:rPr>
                <w:rFonts w:cs="Arial"/>
                <w:szCs w:val="18"/>
              </w:rPr>
              <w:t>2 in the presence and absence of rat S9</w:t>
            </w:r>
            <w:r w:rsidRPr="00056FFE">
              <w:rPr>
                <w:rFonts w:cs="Arial"/>
                <w:szCs w:val="18"/>
              </w:rPr>
              <w:t>.  Confirmed by repeat test.</w:t>
            </w:r>
          </w:p>
        </w:tc>
      </w:tr>
      <w:tr w:rsidR="00FF443A" w:rsidRPr="00056FFE" w14:paraId="522DA713" w14:textId="77777777" w:rsidTr="00887BD1">
        <w:trPr>
          <w:cantSplit/>
          <w:jc w:val="center"/>
        </w:trPr>
        <w:tc>
          <w:tcPr>
            <w:tcW w:w="1335" w:type="pct"/>
          </w:tcPr>
          <w:p w14:paraId="049BEF14" w14:textId="6740EB85" w:rsidR="00FF443A" w:rsidRPr="00056FFE" w:rsidRDefault="00FF443A" w:rsidP="008621D9">
            <w:pPr>
              <w:pStyle w:val="DDLBodyText"/>
              <w:spacing w:after="120"/>
              <w:rPr>
                <w:rFonts w:cs="Arial"/>
                <w:szCs w:val="18"/>
              </w:rPr>
            </w:pPr>
            <w:r w:rsidRPr="00056FFE">
              <w:rPr>
                <w:rFonts w:cs="Arial"/>
                <w:szCs w:val="18"/>
              </w:rPr>
              <w:t xml:space="preserve">In vitro </w:t>
            </w:r>
            <w:r w:rsidR="005F47A1" w:rsidRPr="00056FFE">
              <w:rPr>
                <w:rFonts w:cs="Arial"/>
                <w:szCs w:val="18"/>
              </w:rPr>
              <w:t>m</w:t>
            </w:r>
            <w:r w:rsidRPr="00056FFE">
              <w:rPr>
                <w:rFonts w:cs="Arial"/>
                <w:szCs w:val="18"/>
              </w:rPr>
              <w:t>icronucleus in A549 Cells (GLP)</w:t>
            </w:r>
            <w:r w:rsidR="000927F7" w:rsidRPr="00056FFE">
              <w:rPr>
                <w:rFonts w:cs="Arial"/>
                <w:szCs w:val="18"/>
                <w:vertAlign w:val="superscript"/>
              </w:rPr>
              <w:t xml:space="preserve"> </w:t>
            </w:r>
            <w:r w:rsidR="00F579FD">
              <w:rPr>
                <w:rFonts w:cs="Arial"/>
                <w:szCs w:val="18"/>
                <w:vertAlign w:val="superscript"/>
              </w:rPr>
              <w:t>a</w:t>
            </w:r>
          </w:p>
        </w:tc>
        <w:tc>
          <w:tcPr>
            <w:tcW w:w="3665" w:type="pct"/>
          </w:tcPr>
          <w:p w14:paraId="6D2F7F25" w14:textId="3184B59F" w:rsidR="00FF443A" w:rsidRPr="00056FFE" w:rsidRDefault="00FF443A" w:rsidP="008621D9">
            <w:pPr>
              <w:pStyle w:val="DDLBodyText"/>
              <w:spacing w:after="120"/>
              <w:rPr>
                <w:rFonts w:cs="Arial"/>
                <w:szCs w:val="18"/>
              </w:rPr>
            </w:pPr>
            <w:r w:rsidRPr="00056FFE">
              <w:rPr>
                <w:rFonts w:cs="Arial"/>
                <w:szCs w:val="18"/>
              </w:rPr>
              <w:t>Negative. A549 human lung cell line</w:t>
            </w:r>
            <w:r w:rsidR="002A0027" w:rsidRPr="00056FFE">
              <w:rPr>
                <w:rFonts w:cs="Arial"/>
                <w:szCs w:val="18"/>
              </w:rPr>
              <w:t xml:space="preserve"> in the presence and absence of rat S9.</w:t>
            </w:r>
          </w:p>
        </w:tc>
      </w:tr>
      <w:tr w:rsidR="00FF443A" w:rsidRPr="00056FFE" w14:paraId="5EF2BC20" w14:textId="77777777" w:rsidTr="00887BD1">
        <w:trPr>
          <w:cantSplit/>
          <w:jc w:val="center"/>
        </w:trPr>
        <w:tc>
          <w:tcPr>
            <w:tcW w:w="1335" w:type="pct"/>
          </w:tcPr>
          <w:p w14:paraId="3C6F6ED3" w14:textId="29876B2B" w:rsidR="00FF443A" w:rsidRPr="00056FFE" w:rsidRDefault="00FF443A" w:rsidP="008621D9">
            <w:pPr>
              <w:pStyle w:val="DDLBodyText"/>
              <w:spacing w:after="120"/>
              <w:rPr>
                <w:rFonts w:cs="Arial"/>
                <w:szCs w:val="18"/>
              </w:rPr>
            </w:pPr>
            <w:r w:rsidRPr="00056FFE">
              <w:rPr>
                <w:rFonts w:cs="Arial"/>
                <w:szCs w:val="18"/>
              </w:rPr>
              <w:t xml:space="preserve">In vivo </w:t>
            </w:r>
            <w:r w:rsidR="005F47A1" w:rsidRPr="00056FFE">
              <w:rPr>
                <w:rFonts w:cs="Arial"/>
                <w:szCs w:val="18"/>
              </w:rPr>
              <w:t>b</w:t>
            </w:r>
            <w:r w:rsidRPr="00056FFE">
              <w:rPr>
                <w:rFonts w:cs="Arial"/>
                <w:szCs w:val="18"/>
              </w:rPr>
              <w:t xml:space="preserve">one </w:t>
            </w:r>
            <w:r w:rsidR="005F47A1" w:rsidRPr="00056FFE">
              <w:rPr>
                <w:rFonts w:cs="Arial"/>
                <w:szCs w:val="18"/>
              </w:rPr>
              <w:t>n</w:t>
            </w:r>
            <w:r w:rsidRPr="00056FFE">
              <w:rPr>
                <w:rFonts w:cs="Arial"/>
                <w:szCs w:val="18"/>
              </w:rPr>
              <w:t xml:space="preserve">arrow </w:t>
            </w:r>
            <w:r w:rsidR="005F47A1" w:rsidRPr="00056FFE">
              <w:rPr>
                <w:rFonts w:cs="Arial"/>
                <w:szCs w:val="18"/>
              </w:rPr>
              <w:t>m</w:t>
            </w:r>
            <w:r w:rsidRPr="00056FFE">
              <w:rPr>
                <w:rFonts w:cs="Arial"/>
                <w:szCs w:val="18"/>
              </w:rPr>
              <w:t>icronucleus</w:t>
            </w:r>
            <w:r w:rsidR="005F47A1" w:rsidRPr="00056FFE">
              <w:rPr>
                <w:rFonts w:cs="Arial"/>
                <w:szCs w:val="18"/>
              </w:rPr>
              <w:t xml:space="preserve"> </w:t>
            </w:r>
            <w:r w:rsidRPr="00056FFE">
              <w:rPr>
                <w:rFonts w:cs="Arial"/>
                <w:szCs w:val="18"/>
              </w:rPr>
              <w:t>(rat) (GLP)</w:t>
            </w:r>
            <w:r w:rsidR="000927F7" w:rsidRPr="00056FFE">
              <w:rPr>
                <w:rFonts w:cs="Arial"/>
                <w:szCs w:val="18"/>
                <w:vertAlign w:val="superscript"/>
              </w:rPr>
              <w:t xml:space="preserve"> </w:t>
            </w:r>
            <w:r w:rsidR="00F579FD">
              <w:rPr>
                <w:rFonts w:cs="Arial"/>
                <w:szCs w:val="18"/>
                <w:vertAlign w:val="superscript"/>
              </w:rPr>
              <w:t>a</w:t>
            </w:r>
          </w:p>
        </w:tc>
        <w:tc>
          <w:tcPr>
            <w:tcW w:w="3665" w:type="pct"/>
          </w:tcPr>
          <w:p w14:paraId="19FB7636" w14:textId="4B3869BB" w:rsidR="00FF443A" w:rsidRPr="00056FFE" w:rsidRDefault="00FF443A" w:rsidP="008621D9">
            <w:pPr>
              <w:pStyle w:val="DDLBodyText"/>
              <w:spacing w:after="120"/>
              <w:rPr>
                <w:rFonts w:cs="Arial"/>
                <w:szCs w:val="18"/>
              </w:rPr>
            </w:pPr>
            <w:r w:rsidRPr="00056FFE">
              <w:rPr>
                <w:rFonts w:cs="Arial"/>
                <w:szCs w:val="18"/>
              </w:rPr>
              <w:t>Negative. Rats exposed to 250000 ppm for 20 minutes.</w:t>
            </w:r>
          </w:p>
        </w:tc>
      </w:tr>
    </w:tbl>
    <w:p w14:paraId="058ABC00" w14:textId="6A229AED" w:rsidR="005F47A1" w:rsidRPr="00056FFE" w:rsidRDefault="00097ECC" w:rsidP="00A14D1E">
      <w:pPr>
        <w:pStyle w:val="DDLCaption"/>
        <w:spacing w:after="0"/>
        <w:rPr>
          <w:b w:val="0"/>
          <w:sz w:val="18"/>
        </w:rPr>
      </w:pPr>
      <w:r w:rsidRPr="00056FFE">
        <w:rPr>
          <w:b w:val="0"/>
          <w:sz w:val="18"/>
        </w:rPr>
        <w:t xml:space="preserve">Abbreviations:  </w:t>
      </w:r>
      <w:r w:rsidR="007C1C09" w:rsidRPr="00056FFE">
        <w:rPr>
          <w:b w:val="0"/>
          <w:sz w:val="18"/>
        </w:rPr>
        <w:t xml:space="preserve">d = day; </w:t>
      </w:r>
      <w:r w:rsidR="003D4563" w:rsidRPr="00056FFE">
        <w:rPr>
          <w:b w:val="0"/>
          <w:sz w:val="18"/>
        </w:rPr>
        <w:t xml:space="preserve">DRF = Dose Range-Finding; EFD = Embryofetal Development; FEED = Fertility and Early Embryonic Development, </w:t>
      </w:r>
      <w:r w:rsidR="00313E6F" w:rsidRPr="00056FFE">
        <w:rPr>
          <w:b w:val="0"/>
          <w:sz w:val="18"/>
        </w:rPr>
        <w:t xml:space="preserve">GLP = Study was conducted in accordance Good Laboratory Practice guidelines, </w:t>
      </w:r>
      <w:r w:rsidR="007C1C09" w:rsidRPr="00056FFE">
        <w:rPr>
          <w:b w:val="0"/>
          <w:sz w:val="18"/>
        </w:rPr>
        <w:t xml:space="preserve">h = hour; </w:t>
      </w:r>
      <w:r w:rsidR="00313E6F" w:rsidRPr="00056FFE">
        <w:rPr>
          <w:b w:val="0"/>
          <w:sz w:val="18"/>
        </w:rPr>
        <w:t>MTD = Maximum Tolerated Dose, NOAEC = No Observed Adverse Effect Concentration, NOAEL = No Observed Adverse Effect Level (calculated as delivered dose as described by Alexander et al.</w:t>
      </w:r>
      <w:r w:rsidR="00056FFE" w:rsidRPr="00056FFE">
        <w:rPr>
          <w:b w:val="0"/>
          <w:sz w:val="18"/>
        </w:rPr>
        <w:t xml:space="preserve"> </w:t>
      </w:r>
      <w:r w:rsidR="00313E6F" w:rsidRPr="00056FFE">
        <w:rPr>
          <w:b w:val="0"/>
          <w:sz w:val="18"/>
        </w:rPr>
        <w:t>2008).</w:t>
      </w:r>
    </w:p>
    <w:p w14:paraId="6D07BB31" w14:textId="3D2D14FB" w:rsidR="00097ECC" w:rsidRPr="00056FFE" w:rsidRDefault="003D4563" w:rsidP="00A14D1E">
      <w:pPr>
        <w:pStyle w:val="DDLCaption"/>
        <w:spacing w:after="0"/>
        <w:rPr>
          <w:b w:val="0"/>
          <w:sz w:val="18"/>
        </w:rPr>
      </w:pPr>
      <w:r w:rsidRPr="00056FFE">
        <w:rPr>
          <w:b w:val="0"/>
          <w:sz w:val="18"/>
        </w:rPr>
        <w:t>HFA-152a was administered to animals via nose-only (rodents) or snout-only (dog) inhalation</w:t>
      </w:r>
      <w:r w:rsidR="00097ECC" w:rsidRPr="00056FFE">
        <w:rPr>
          <w:b w:val="0"/>
          <w:sz w:val="18"/>
        </w:rPr>
        <w:t xml:space="preserve"> at the indicated concentration and duration</w:t>
      </w:r>
      <w:r w:rsidRPr="00056FFE">
        <w:rPr>
          <w:b w:val="0"/>
          <w:sz w:val="18"/>
        </w:rPr>
        <w:t xml:space="preserve">.  </w:t>
      </w:r>
    </w:p>
    <w:p w14:paraId="13F718F3" w14:textId="6BECA793" w:rsidR="00313E6F" w:rsidRPr="00056FFE" w:rsidRDefault="00313E6F" w:rsidP="00A14D1E">
      <w:pPr>
        <w:pStyle w:val="DDLCaption"/>
        <w:spacing w:after="0"/>
        <w:rPr>
          <w:b w:val="0"/>
          <w:sz w:val="18"/>
        </w:rPr>
      </w:pPr>
      <w:r w:rsidRPr="00056FFE">
        <w:rPr>
          <w:b w:val="0"/>
          <w:sz w:val="18"/>
        </w:rPr>
        <w:t>In the repeat dosing studies, no treatment related effect on survival, body weight gain, clinical chemistry, hematology, ophthalmology, gross pathology, or histopathology were observed.  No evidence of respiratory or cardiovascular toxicity were observed.</w:t>
      </w:r>
    </w:p>
    <w:p w14:paraId="5CE23329" w14:textId="36AC1886" w:rsidR="005F47A1" w:rsidRPr="00056FFE" w:rsidRDefault="005F47A1" w:rsidP="00A14D1E">
      <w:pPr>
        <w:pStyle w:val="DDLCaption"/>
        <w:spacing w:after="0"/>
        <w:rPr>
          <w:b w:val="0"/>
          <w:sz w:val="18"/>
        </w:rPr>
      </w:pPr>
      <w:r w:rsidRPr="00056FFE">
        <w:rPr>
          <w:b w:val="0"/>
          <w:sz w:val="18"/>
        </w:rPr>
        <w:t>(</w:t>
      </w:r>
      <w:r w:rsidR="00F579FD">
        <w:rPr>
          <w:b w:val="0"/>
          <w:sz w:val="18"/>
        </w:rPr>
        <w:t>a</w:t>
      </w:r>
      <w:r w:rsidRPr="00056FFE">
        <w:rPr>
          <w:b w:val="0"/>
          <w:sz w:val="18"/>
        </w:rPr>
        <w:t>) Study conducted by Lovelace Biomedical (Albuquerque, NM, USA).</w:t>
      </w:r>
    </w:p>
    <w:p w14:paraId="0984DC93" w14:textId="3DB1FD6F" w:rsidR="00313E6F" w:rsidRPr="00056FFE" w:rsidRDefault="005F47A1" w:rsidP="004766D3">
      <w:pPr>
        <w:pStyle w:val="DDLCaption"/>
        <w:spacing w:after="0"/>
        <w:rPr>
          <w:rFonts w:asciiTheme="minorHAnsi" w:hAnsiTheme="minorHAnsi"/>
        </w:rPr>
      </w:pPr>
      <w:r w:rsidRPr="00056FFE">
        <w:rPr>
          <w:b w:val="0"/>
          <w:sz w:val="18"/>
        </w:rPr>
        <w:t>(</w:t>
      </w:r>
      <w:r w:rsidR="00F579FD">
        <w:rPr>
          <w:b w:val="0"/>
          <w:sz w:val="18"/>
        </w:rPr>
        <w:t>b</w:t>
      </w:r>
      <w:r w:rsidRPr="00056FFE">
        <w:rPr>
          <w:b w:val="0"/>
          <w:sz w:val="18"/>
        </w:rPr>
        <w:t>) Study conducted by Charles River Laboratories (Ashland, OH, USA).</w:t>
      </w:r>
    </w:p>
    <w:p w14:paraId="1B543860" w14:textId="6ED63FCF" w:rsidR="00A14D1E" w:rsidRPr="00056FFE" w:rsidRDefault="00A14D1E" w:rsidP="00774B8F">
      <w:pPr>
        <w:pStyle w:val="DDLHeading1"/>
        <w:rPr>
          <w:sz w:val="20"/>
          <w:szCs w:val="20"/>
        </w:rPr>
      </w:pPr>
      <w:r w:rsidRPr="00056FFE">
        <w:rPr>
          <w:sz w:val="20"/>
          <w:szCs w:val="20"/>
        </w:rPr>
        <w:t>Discussion and Conclusions</w:t>
      </w:r>
    </w:p>
    <w:p w14:paraId="60F1082E" w14:textId="12D0764D" w:rsidR="00F07574" w:rsidRPr="00056FFE" w:rsidRDefault="00774B8F" w:rsidP="00774B8F">
      <w:pPr>
        <w:pStyle w:val="DDLBodyText"/>
        <w:rPr>
          <w:sz w:val="20"/>
        </w:rPr>
      </w:pPr>
      <w:r w:rsidRPr="00056FFE">
        <w:rPr>
          <w:sz w:val="20"/>
        </w:rPr>
        <w:t xml:space="preserve">HFA-152a is </w:t>
      </w:r>
      <w:r w:rsidR="00F07574" w:rsidRPr="00056FFE">
        <w:rPr>
          <w:sz w:val="20"/>
        </w:rPr>
        <w:t xml:space="preserve">being developed as a </w:t>
      </w:r>
      <w:r w:rsidR="00B30FD3" w:rsidRPr="00056FFE">
        <w:rPr>
          <w:sz w:val="20"/>
        </w:rPr>
        <w:t>replacement for</w:t>
      </w:r>
      <w:r w:rsidRPr="00056FFE">
        <w:rPr>
          <w:sz w:val="20"/>
        </w:rPr>
        <w:t xml:space="preserve"> currently used HFA </w:t>
      </w:r>
      <w:r w:rsidR="0036379B" w:rsidRPr="00056FFE">
        <w:rPr>
          <w:sz w:val="20"/>
        </w:rPr>
        <w:t xml:space="preserve">pMDI </w:t>
      </w:r>
      <w:r w:rsidRPr="00056FFE">
        <w:rPr>
          <w:sz w:val="20"/>
        </w:rPr>
        <w:t xml:space="preserve">propellants </w:t>
      </w:r>
      <w:r w:rsidR="00F07574" w:rsidRPr="00056FFE">
        <w:rPr>
          <w:sz w:val="20"/>
        </w:rPr>
        <w:t xml:space="preserve">and as a novel excipient for </w:t>
      </w:r>
      <w:r w:rsidR="0036379B" w:rsidRPr="00056FFE">
        <w:rPr>
          <w:sz w:val="20"/>
        </w:rPr>
        <w:t xml:space="preserve">the development of new </w:t>
      </w:r>
      <w:r w:rsidR="00B30FD3" w:rsidRPr="00056FFE">
        <w:rPr>
          <w:sz w:val="20"/>
        </w:rPr>
        <w:t xml:space="preserve">inhaled </w:t>
      </w:r>
      <w:r w:rsidRPr="00056FFE">
        <w:rPr>
          <w:sz w:val="20"/>
        </w:rPr>
        <w:t xml:space="preserve">drugs delivered </w:t>
      </w:r>
      <w:r w:rsidRPr="00056FFE">
        <w:rPr>
          <w:i/>
          <w:iCs/>
          <w:sz w:val="20"/>
        </w:rPr>
        <w:t>via</w:t>
      </w:r>
      <w:r w:rsidRPr="00056FFE">
        <w:rPr>
          <w:sz w:val="20"/>
        </w:rPr>
        <w:t xml:space="preserve"> pMDIs.</w:t>
      </w:r>
      <w:r w:rsidR="0036379B" w:rsidRPr="00056FFE">
        <w:rPr>
          <w:sz w:val="20"/>
        </w:rPr>
        <w:t xml:space="preserve">  The results of the</w:t>
      </w:r>
      <w:r w:rsidR="00B30FD3" w:rsidRPr="00056FFE">
        <w:rPr>
          <w:sz w:val="20"/>
        </w:rPr>
        <w:t xml:space="preserve"> nonclinical</w:t>
      </w:r>
      <w:r w:rsidR="0036379B" w:rsidRPr="00056FFE">
        <w:rPr>
          <w:sz w:val="20"/>
        </w:rPr>
        <w:t xml:space="preserve"> safety studies on </w:t>
      </w:r>
      <w:r w:rsidR="00B5298C" w:rsidRPr="00056FFE">
        <w:rPr>
          <w:sz w:val="20"/>
        </w:rPr>
        <w:t xml:space="preserve">medical-grade </w:t>
      </w:r>
      <w:r w:rsidR="0036379B" w:rsidRPr="00056FFE">
        <w:rPr>
          <w:sz w:val="20"/>
        </w:rPr>
        <w:t>HFA-152a summarized in this paper demonstrate that HFA-152a is safe for this purpose.</w:t>
      </w:r>
      <w:r w:rsidR="000864CE" w:rsidRPr="00056FFE">
        <w:rPr>
          <w:sz w:val="20"/>
        </w:rPr>
        <w:t xml:space="preserve">  Importantly, in a Phase 1 clinical study in healthy male adults, HFA-152a administered </w:t>
      </w:r>
      <w:r w:rsidR="000864CE" w:rsidRPr="00056FFE">
        <w:rPr>
          <w:i/>
          <w:iCs/>
          <w:sz w:val="20"/>
        </w:rPr>
        <w:t>via</w:t>
      </w:r>
      <w:r w:rsidR="000864CE" w:rsidRPr="00056FFE">
        <w:rPr>
          <w:sz w:val="20"/>
        </w:rPr>
        <w:t xml:space="preserve"> a pMDI was </w:t>
      </w:r>
      <w:r w:rsidR="00252512">
        <w:rPr>
          <w:sz w:val="20"/>
        </w:rPr>
        <w:t>well tolerated and</w:t>
      </w:r>
      <w:r w:rsidR="007E1259">
        <w:rPr>
          <w:sz w:val="20"/>
        </w:rPr>
        <w:t xml:space="preserve"> </w:t>
      </w:r>
      <w:r w:rsidR="00252512">
        <w:rPr>
          <w:sz w:val="20"/>
        </w:rPr>
        <w:t>without adverse effects</w:t>
      </w:r>
      <w:r w:rsidR="000864CE" w:rsidRPr="00056FFE">
        <w:rPr>
          <w:sz w:val="20"/>
        </w:rPr>
        <w:t>.</w:t>
      </w:r>
      <w:r w:rsidR="000864CE" w:rsidRPr="00056FFE">
        <w:rPr>
          <w:rStyle w:val="DDLReferenceSuperscript"/>
        </w:rPr>
        <w:t>[1]</w:t>
      </w:r>
    </w:p>
    <w:p w14:paraId="656AC081" w14:textId="2466B44E" w:rsidR="00F07574" w:rsidRPr="00056FFE" w:rsidRDefault="00F07574" w:rsidP="00774B8F">
      <w:pPr>
        <w:pStyle w:val="DDLBodyText"/>
        <w:rPr>
          <w:sz w:val="20"/>
        </w:rPr>
      </w:pPr>
      <w:r w:rsidRPr="00056FFE">
        <w:rPr>
          <w:sz w:val="20"/>
        </w:rPr>
        <w:t xml:space="preserve">In the nonclinical safety studies, </w:t>
      </w:r>
      <w:r w:rsidR="00B30FD3" w:rsidRPr="00056FFE">
        <w:rPr>
          <w:sz w:val="20"/>
        </w:rPr>
        <w:t xml:space="preserve">HFA-152a showed no acute or chronic toxicity, no genotoxic or carcinogenic activity, no developmental or reproductive toxicity, </w:t>
      </w:r>
      <w:r w:rsidR="00D85756" w:rsidRPr="00056FFE">
        <w:rPr>
          <w:sz w:val="20"/>
        </w:rPr>
        <w:t>and n</w:t>
      </w:r>
      <w:r w:rsidR="00B30FD3" w:rsidRPr="00056FFE">
        <w:rPr>
          <w:sz w:val="20"/>
        </w:rPr>
        <w:t>o</w:t>
      </w:r>
      <w:r w:rsidR="00D85756" w:rsidRPr="00056FFE">
        <w:rPr>
          <w:sz w:val="20"/>
        </w:rPr>
        <w:t xml:space="preserve"> cardiopulmonary or respiratory toxicity.</w:t>
      </w:r>
      <w:r w:rsidR="00B7616B">
        <w:rPr>
          <w:sz w:val="20"/>
        </w:rPr>
        <w:t xml:space="preserve">  The results of a juvenile animal study conducted </w:t>
      </w:r>
      <w:r w:rsidR="00895048">
        <w:rPr>
          <w:sz w:val="20"/>
        </w:rPr>
        <w:t>on</w:t>
      </w:r>
      <w:r w:rsidR="00B7616B">
        <w:rPr>
          <w:sz w:val="20"/>
        </w:rPr>
        <w:t xml:space="preserve"> rats </w:t>
      </w:r>
      <w:r w:rsidR="00895048">
        <w:rPr>
          <w:sz w:val="20"/>
        </w:rPr>
        <w:t>with exposures beginning at</w:t>
      </w:r>
      <w:r w:rsidR="00B7616B">
        <w:rPr>
          <w:sz w:val="20"/>
        </w:rPr>
        <w:t xml:space="preserve"> 21 days </w:t>
      </w:r>
      <w:r w:rsidR="00895048">
        <w:rPr>
          <w:sz w:val="20"/>
        </w:rPr>
        <w:t xml:space="preserve">of age </w:t>
      </w:r>
      <w:r w:rsidR="00B7616B">
        <w:rPr>
          <w:sz w:val="20"/>
        </w:rPr>
        <w:t>support the paediatric safety of HFA-152a.</w:t>
      </w:r>
      <w:r w:rsidR="00C938FD" w:rsidRPr="00C938FD">
        <w:rPr>
          <w:rStyle w:val="DDLReferenceSuperscript"/>
        </w:rPr>
        <w:t xml:space="preserve"> </w:t>
      </w:r>
      <w:r w:rsidR="00C938FD">
        <w:rPr>
          <w:rStyle w:val="DDLReferenceSuperscript"/>
        </w:rPr>
        <w:t>[</w:t>
      </w:r>
      <w:r w:rsidR="00C938FD" w:rsidRPr="00056FFE">
        <w:rPr>
          <w:rStyle w:val="DDLReferenceSuperscript"/>
        </w:rPr>
        <w:t>1</w:t>
      </w:r>
      <w:r w:rsidR="00C938FD">
        <w:rPr>
          <w:rStyle w:val="DDLReferenceSuperscript"/>
        </w:rPr>
        <w:t>4</w:t>
      </w:r>
      <w:r w:rsidR="00C938FD" w:rsidRPr="00056FFE">
        <w:rPr>
          <w:rStyle w:val="DDLReferenceSuperscript"/>
        </w:rPr>
        <w:t>]</w:t>
      </w:r>
      <w:r w:rsidR="00940396" w:rsidRPr="00056FFE">
        <w:rPr>
          <w:sz w:val="20"/>
        </w:rPr>
        <w:t xml:space="preserve"> </w:t>
      </w:r>
    </w:p>
    <w:p w14:paraId="2C5AEDCC" w14:textId="141226FB" w:rsidR="00774B8F" w:rsidRPr="00056FFE" w:rsidRDefault="00B5298C" w:rsidP="00774B8F">
      <w:pPr>
        <w:pStyle w:val="DDLBodyText"/>
        <w:rPr>
          <w:sz w:val="20"/>
        </w:rPr>
      </w:pPr>
      <w:r w:rsidRPr="00056FFE">
        <w:rPr>
          <w:sz w:val="20"/>
        </w:rPr>
        <w:t xml:space="preserve">In certain nonclinical studies, a </w:t>
      </w:r>
      <w:r w:rsidR="002652B5" w:rsidRPr="00056FFE">
        <w:rPr>
          <w:sz w:val="20"/>
        </w:rPr>
        <w:t xml:space="preserve">transient </w:t>
      </w:r>
      <w:r w:rsidR="00D85756" w:rsidRPr="00056FFE">
        <w:rPr>
          <w:sz w:val="20"/>
        </w:rPr>
        <w:t>hypoxemic/anesthetic-like effect</w:t>
      </w:r>
      <w:r w:rsidRPr="00056FFE">
        <w:rPr>
          <w:sz w:val="20"/>
        </w:rPr>
        <w:t xml:space="preserve"> was</w:t>
      </w:r>
      <w:r w:rsidR="002652B5" w:rsidRPr="00056FFE">
        <w:rPr>
          <w:sz w:val="20"/>
        </w:rPr>
        <w:t xml:space="preserve"> observed during exposures</w:t>
      </w:r>
      <w:r w:rsidR="00D85756" w:rsidRPr="00056FFE">
        <w:rPr>
          <w:sz w:val="20"/>
        </w:rPr>
        <w:t xml:space="preserve"> </w:t>
      </w:r>
      <w:r w:rsidRPr="00056FFE">
        <w:rPr>
          <w:sz w:val="20"/>
        </w:rPr>
        <w:t xml:space="preserve">and </w:t>
      </w:r>
      <w:r w:rsidR="00D85756" w:rsidRPr="00056FFE">
        <w:rPr>
          <w:sz w:val="20"/>
        </w:rPr>
        <w:t xml:space="preserve">was dose-limiting in all animal species exposed </w:t>
      </w:r>
      <w:r w:rsidR="00406849" w:rsidRPr="00056FFE">
        <w:rPr>
          <w:sz w:val="20"/>
        </w:rPr>
        <w:t xml:space="preserve">to </w:t>
      </w:r>
      <w:r w:rsidR="006C79F1">
        <w:rPr>
          <w:sz w:val="20"/>
        </w:rPr>
        <w:t xml:space="preserve">extremely </w:t>
      </w:r>
      <w:r w:rsidR="002652B5" w:rsidRPr="00056FFE">
        <w:rPr>
          <w:sz w:val="20"/>
        </w:rPr>
        <w:t>high concentrations of</w:t>
      </w:r>
      <w:r w:rsidR="00D85756" w:rsidRPr="00056FFE">
        <w:rPr>
          <w:sz w:val="20"/>
        </w:rPr>
        <w:t xml:space="preserve"> HFA-152a</w:t>
      </w:r>
      <w:r w:rsidR="00F07574" w:rsidRPr="00056FFE">
        <w:rPr>
          <w:sz w:val="20"/>
        </w:rPr>
        <w:t xml:space="preserve">.  This effect </w:t>
      </w:r>
      <w:r w:rsidR="00CE65CC">
        <w:rPr>
          <w:sz w:val="20"/>
        </w:rPr>
        <w:t>resolved</w:t>
      </w:r>
      <w:r w:rsidR="00406849" w:rsidRPr="00056FFE">
        <w:rPr>
          <w:sz w:val="20"/>
        </w:rPr>
        <w:t xml:space="preserve"> within minutes of exposure cessation</w:t>
      </w:r>
      <w:r w:rsidR="002652B5" w:rsidRPr="00056FFE">
        <w:rPr>
          <w:sz w:val="20"/>
        </w:rPr>
        <w:t xml:space="preserve">.  </w:t>
      </w:r>
      <w:r w:rsidR="0002536D" w:rsidRPr="00056FFE">
        <w:rPr>
          <w:sz w:val="20"/>
        </w:rPr>
        <w:t xml:space="preserve">In dogs, </w:t>
      </w:r>
      <w:r w:rsidRPr="00056FFE">
        <w:rPr>
          <w:sz w:val="20"/>
        </w:rPr>
        <w:t xml:space="preserve">such </w:t>
      </w:r>
      <w:r w:rsidR="00F07574" w:rsidRPr="00056FFE">
        <w:rPr>
          <w:sz w:val="20"/>
        </w:rPr>
        <w:t>hypoxemic</w:t>
      </w:r>
      <w:r w:rsidR="002652B5" w:rsidRPr="00056FFE">
        <w:rPr>
          <w:sz w:val="20"/>
        </w:rPr>
        <w:t xml:space="preserve"> effects were only observed at delivered doses </w:t>
      </w:r>
      <w:r w:rsidR="00B418FD" w:rsidRPr="00056FFE">
        <w:rPr>
          <w:sz w:val="20"/>
        </w:rPr>
        <w:t>greater than</w:t>
      </w:r>
      <w:r w:rsidR="0053094B" w:rsidRPr="00056FFE">
        <w:rPr>
          <w:sz w:val="20"/>
        </w:rPr>
        <w:t xml:space="preserve"> 2</w:t>
      </w:r>
      <w:r w:rsidR="00C120BF" w:rsidRPr="00056FFE">
        <w:rPr>
          <w:sz w:val="20"/>
        </w:rPr>
        <w:t>3</w:t>
      </w:r>
      <w:r w:rsidR="0053094B" w:rsidRPr="00056FFE">
        <w:rPr>
          <w:sz w:val="20"/>
        </w:rPr>
        <w:t>00</w:t>
      </w:r>
      <w:r w:rsidR="001A533E">
        <w:rPr>
          <w:sz w:val="20"/>
        </w:rPr>
        <w:t xml:space="preserve"> times</w:t>
      </w:r>
      <w:r w:rsidR="0002536D" w:rsidRPr="00056FFE">
        <w:rPr>
          <w:sz w:val="20"/>
        </w:rPr>
        <w:t xml:space="preserve"> the clinical MDE.  In rats, hypoxemic effects were only consistently observed at greater than 1</w:t>
      </w:r>
      <w:r w:rsidR="00940396" w:rsidRPr="00056FFE">
        <w:rPr>
          <w:sz w:val="20"/>
        </w:rPr>
        <w:t>47</w:t>
      </w:r>
      <w:r w:rsidR="0002536D" w:rsidRPr="00056FFE">
        <w:rPr>
          <w:sz w:val="20"/>
        </w:rPr>
        <w:t>00</w:t>
      </w:r>
      <w:r w:rsidR="001A533E">
        <w:rPr>
          <w:sz w:val="20"/>
        </w:rPr>
        <w:t xml:space="preserve"> times</w:t>
      </w:r>
      <w:r w:rsidR="0002536D" w:rsidRPr="00056FFE">
        <w:rPr>
          <w:sz w:val="20"/>
        </w:rPr>
        <w:t xml:space="preserve"> the clinical MDE.</w:t>
      </w:r>
      <w:r w:rsidR="00B418FD" w:rsidRPr="00056FFE">
        <w:rPr>
          <w:sz w:val="20"/>
        </w:rPr>
        <w:t xml:space="preserve"> </w:t>
      </w:r>
      <w:r w:rsidR="000B489B" w:rsidRPr="00056FFE">
        <w:rPr>
          <w:sz w:val="20"/>
        </w:rPr>
        <w:t xml:space="preserve"> </w:t>
      </w:r>
      <w:r w:rsidR="0002536D" w:rsidRPr="00056FFE">
        <w:rPr>
          <w:sz w:val="20"/>
        </w:rPr>
        <w:t>T</w:t>
      </w:r>
      <w:r w:rsidR="002652B5" w:rsidRPr="00056FFE">
        <w:rPr>
          <w:sz w:val="20"/>
        </w:rPr>
        <w:t>he</w:t>
      </w:r>
      <w:r w:rsidR="0002536D" w:rsidRPr="00056FFE">
        <w:rPr>
          <w:sz w:val="20"/>
        </w:rPr>
        <w:t xml:space="preserve">se effects were therefore </w:t>
      </w:r>
      <w:r w:rsidR="00C71C80">
        <w:rPr>
          <w:sz w:val="20"/>
        </w:rPr>
        <w:t>considered</w:t>
      </w:r>
      <w:r w:rsidR="002652B5" w:rsidRPr="00056FFE">
        <w:rPr>
          <w:sz w:val="20"/>
        </w:rPr>
        <w:t xml:space="preserve"> not relevant for </w:t>
      </w:r>
      <w:r w:rsidR="00406849" w:rsidRPr="00056FFE">
        <w:rPr>
          <w:sz w:val="20"/>
        </w:rPr>
        <w:t xml:space="preserve">clinical use of </w:t>
      </w:r>
      <w:r w:rsidR="002652B5" w:rsidRPr="00056FFE">
        <w:rPr>
          <w:sz w:val="20"/>
        </w:rPr>
        <w:t xml:space="preserve">HFA-152a administered </w:t>
      </w:r>
      <w:r w:rsidR="002652B5" w:rsidRPr="00056FFE">
        <w:rPr>
          <w:i/>
          <w:iCs/>
          <w:sz w:val="20"/>
        </w:rPr>
        <w:t>via</w:t>
      </w:r>
      <w:r w:rsidR="002652B5" w:rsidRPr="00056FFE">
        <w:rPr>
          <w:sz w:val="20"/>
        </w:rPr>
        <w:t xml:space="preserve"> a pMDI</w:t>
      </w:r>
      <w:r w:rsidR="00E07364" w:rsidRPr="00056FFE">
        <w:rPr>
          <w:sz w:val="20"/>
        </w:rPr>
        <w:t xml:space="preserve">. </w:t>
      </w:r>
    </w:p>
    <w:p w14:paraId="63C44355" w14:textId="1E1BC343" w:rsidR="00A14D1E" w:rsidRDefault="00406849" w:rsidP="00A14D1E">
      <w:pPr>
        <w:pStyle w:val="DDLBodyText"/>
        <w:rPr>
          <w:sz w:val="20"/>
        </w:rPr>
      </w:pPr>
      <w:r w:rsidRPr="00056FFE">
        <w:rPr>
          <w:sz w:val="20"/>
        </w:rPr>
        <w:t xml:space="preserve">Overall, the nonclinical safety program for medical-grade HFA-152a supports the safety of HFA-152a as a pMDI propellant for </w:t>
      </w:r>
      <w:r w:rsidR="00B5298C" w:rsidRPr="00056FFE">
        <w:rPr>
          <w:sz w:val="20"/>
        </w:rPr>
        <w:t xml:space="preserve">inhaled </w:t>
      </w:r>
      <w:r w:rsidRPr="00056FFE">
        <w:rPr>
          <w:sz w:val="20"/>
        </w:rPr>
        <w:t>drugs intended for all patient populations and chronic daily use.</w:t>
      </w:r>
    </w:p>
    <w:p w14:paraId="2A1EA23B" w14:textId="566FF3A8" w:rsidR="007313E8" w:rsidRPr="00031B15" w:rsidRDefault="007313E8" w:rsidP="00103D4F">
      <w:pPr>
        <w:pStyle w:val="DDLHeading1"/>
        <w:rPr>
          <w:sz w:val="20"/>
          <w:szCs w:val="20"/>
        </w:rPr>
      </w:pPr>
      <w:r w:rsidRPr="00031B15">
        <w:rPr>
          <w:sz w:val="20"/>
          <w:szCs w:val="20"/>
        </w:rPr>
        <w:t>References</w:t>
      </w:r>
    </w:p>
    <w:sectPr w:rsidR="007313E8" w:rsidRPr="00031B15" w:rsidSect="00660395">
      <w:headerReference w:type="even" r:id="rId11"/>
      <w:headerReference w:type="default" r:id="rId12"/>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2D8D42" w14:textId="77777777" w:rsidR="00A44C47" w:rsidRDefault="00A44C47" w:rsidP="00A515A9">
      <w:pPr>
        <w:spacing w:after="0"/>
      </w:pPr>
      <w:r>
        <w:separator/>
      </w:r>
    </w:p>
  </w:endnote>
  <w:endnote w:type="continuationSeparator" w:id="0">
    <w:p w14:paraId="4FE93B21" w14:textId="77777777" w:rsidR="00A44C47" w:rsidRDefault="00A44C47" w:rsidP="00A515A9">
      <w:pPr>
        <w:spacing w:after="0"/>
      </w:pPr>
      <w:r>
        <w:continuationSeparator/>
      </w:r>
    </w:p>
  </w:endnote>
  <w:endnote w:id="1">
    <w:p w14:paraId="10EE218E" w14:textId="7AF7B789" w:rsidR="009A78FA" w:rsidRPr="00CC1B69" w:rsidRDefault="009A78FA" w:rsidP="009A78FA">
      <w:pPr>
        <w:pStyle w:val="DDLReferences"/>
        <w:keepNext/>
      </w:pPr>
      <w:r>
        <w:t>[</w:t>
      </w:r>
      <w:r w:rsidRPr="00D1209B">
        <w:rPr>
          <w:rStyle w:val="EndnoteReference"/>
          <w:szCs w:val="18"/>
          <w:vertAlign w:val="baseline"/>
        </w:rPr>
        <w:endnoteRef/>
      </w:r>
      <w:r>
        <w:t>]</w:t>
      </w:r>
      <w:r w:rsidRPr="00930DA1">
        <w:tab/>
      </w:r>
      <w:r>
        <w:t>Jeswani, H</w:t>
      </w:r>
      <w:r w:rsidR="00F81397">
        <w:t>K</w:t>
      </w:r>
      <w:r>
        <w:t>; Azapagic, A.</w:t>
      </w:r>
      <w:r w:rsidRPr="002B4A3B">
        <w:t xml:space="preserve"> </w:t>
      </w:r>
      <w:r w:rsidRPr="009A78FA">
        <w:t>Life cycle environmental impacts of inhalers</w:t>
      </w:r>
      <w:r w:rsidRPr="002B4A3B">
        <w:t xml:space="preserve">. </w:t>
      </w:r>
      <w:r>
        <w:t>J. Cleaner Prod. 2019; 237: p 117733</w:t>
      </w:r>
      <w:r w:rsidRPr="002B4A3B">
        <w:t>.</w:t>
      </w:r>
      <w:r w:rsidR="00F81397">
        <w:t xml:space="preserve"> </w:t>
      </w:r>
      <w:r w:rsidR="00F81397" w:rsidRPr="00F81397">
        <w:t>doi: 10.1016/j.jclepro.2019.117733</w:t>
      </w:r>
      <w:r w:rsidR="00E06FC3">
        <w:t>. (Addendum</w:t>
      </w:r>
      <w:r w:rsidR="00795B49">
        <w:t>: 2023; 389: p 135918.)</w:t>
      </w:r>
    </w:p>
  </w:endnote>
  <w:endnote w:id="2">
    <w:p w14:paraId="75FCCFF7" w14:textId="33576CFC" w:rsidR="009A78FA" w:rsidRPr="00CC1B69" w:rsidRDefault="009A78FA" w:rsidP="009A78FA">
      <w:pPr>
        <w:pStyle w:val="DDLReferences"/>
        <w:keepNext/>
      </w:pPr>
      <w:r>
        <w:t>[</w:t>
      </w:r>
      <w:r w:rsidRPr="00D1209B">
        <w:rPr>
          <w:rStyle w:val="EndnoteReference"/>
          <w:szCs w:val="18"/>
          <w:vertAlign w:val="baseline"/>
        </w:rPr>
        <w:endnoteRef/>
      </w:r>
      <w:r>
        <w:t>]</w:t>
      </w:r>
      <w:r w:rsidRPr="00930DA1">
        <w:tab/>
      </w:r>
      <w:r>
        <w:t>Corr, S.</w:t>
      </w:r>
      <w:r w:rsidR="00EF5015">
        <w:t xml:space="preserve"> Development of HFA-152a as an environmentally sustainable propellant for pressurized metered dose inhalers. </w:t>
      </w:r>
      <w:r w:rsidR="00A47041">
        <w:t xml:space="preserve">Inhalation. </w:t>
      </w:r>
      <w:r w:rsidR="00EF5015">
        <w:t>October</w:t>
      </w:r>
      <w:r w:rsidR="00A47041">
        <w:t xml:space="preserve"> 2020:</w:t>
      </w:r>
      <w:r w:rsidR="00F579FD" w:rsidRPr="00F579FD">
        <w:t xml:space="preserve"> </w:t>
      </w:r>
      <w:r w:rsidR="00F81397">
        <w:t xml:space="preserve">6p. </w:t>
      </w:r>
      <w:r w:rsidR="00F579FD" w:rsidRPr="00F579FD">
        <w:t>Accessed at https://www.inhalationmag.com/article/development-of-hfa-152a-as-an-environmentally-sustainable-propellant-for-pressurized-metered-dose-inhalers/</w:t>
      </w:r>
    </w:p>
  </w:endnote>
  <w:endnote w:id="3">
    <w:p w14:paraId="49BF852A" w14:textId="4799A213" w:rsidR="005D0012" w:rsidRPr="00CC1B69" w:rsidRDefault="005D0012" w:rsidP="005D0012">
      <w:pPr>
        <w:pStyle w:val="DDLReferences"/>
        <w:keepNext/>
      </w:pPr>
      <w:r>
        <w:t>[</w:t>
      </w:r>
      <w:r w:rsidRPr="00D1209B">
        <w:rPr>
          <w:rStyle w:val="EndnoteReference"/>
          <w:szCs w:val="18"/>
          <w:vertAlign w:val="baseline"/>
        </w:rPr>
        <w:endnoteRef/>
      </w:r>
      <w:r>
        <w:t>]</w:t>
      </w:r>
      <w:r w:rsidRPr="00930DA1">
        <w:tab/>
      </w:r>
      <w:r>
        <w:t>Kuehl</w:t>
      </w:r>
      <w:r w:rsidR="00DE0980">
        <w:t>, PJ; Corr, S</w:t>
      </w:r>
      <w:r w:rsidR="00DE0980" w:rsidRPr="002B4A3B">
        <w:t>; Leach, C</w:t>
      </w:r>
      <w:r w:rsidR="00A5581B" w:rsidRPr="002B4A3B">
        <w:t>. Safety, Tolerance and Pharmacokinetics of HFA-152a in Healthy Volunteers. Respir Drug Delivery</w:t>
      </w:r>
      <w:r w:rsidR="00EF5015">
        <w:t>.</w:t>
      </w:r>
      <w:r w:rsidR="00A5581B" w:rsidRPr="002B4A3B">
        <w:t xml:space="preserve"> 2022</w:t>
      </w:r>
      <w:r w:rsidRPr="002B4A3B">
        <w:t xml:space="preserve">: pp </w:t>
      </w:r>
      <w:r w:rsidR="00A5581B" w:rsidRPr="002B4A3B">
        <w:t>87-96.</w:t>
      </w:r>
    </w:p>
  </w:endnote>
  <w:endnote w:id="4">
    <w:p w14:paraId="624BF491" w14:textId="7A694BE1" w:rsidR="005D0012" w:rsidRPr="00CC1B69" w:rsidRDefault="005D0012" w:rsidP="005D0012">
      <w:pPr>
        <w:pStyle w:val="DDLReferences"/>
        <w:keepNext/>
      </w:pPr>
      <w:r>
        <w:t>[</w:t>
      </w:r>
      <w:r w:rsidRPr="00D1209B">
        <w:rPr>
          <w:rStyle w:val="EndnoteReference"/>
          <w:szCs w:val="18"/>
          <w:vertAlign w:val="baseline"/>
        </w:rPr>
        <w:endnoteRef/>
      </w:r>
      <w:r>
        <w:t>]</w:t>
      </w:r>
      <w:r w:rsidRPr="00930DA1">
        <w:tab/>
      </w:r>
      <w:r w:rsidRPr="005D0012">
        <w:t>US Food and Drug Administration (US FDA), Center for Drug Evaluation and Research (CDER). April 2018. Guidance for Industry: Metered Dose Inhaler (MDI) and Dry Powder Inhaler (DPI) Drug Products - Quality Considerations: Guidance for Industry (Revised Draft). 50p. Accessed at https://www.fda.gov/downloads/drugs/guidances/ucm070573.pdf.</w:t>
      </w:r>
      <w:r w:rsidRPr="00CC1B69">
        <w:t>.</w:t>
      </w:r>
    </w:p>
  </w:endnote>
  <w:endnote w:id="5">
    <w:p w14:paraId="78B1694A" w14:textId="315F3BB0" w:rsidR="005D0012" w:rsidRPr="00CC1B69" w:rsidRDefault="005D0012" w:rsidP="005D0012">
      <w:pPr>
        <w:pStyle w:val="DDLReferences"/>
        <w:keepNext/>
      </w:pPr>
      <w:r>
        <w:t>[</w:t>
      </w:r>
      <w:r w:rsidRPr="00D1209B">
        <w:rPr>
          <w:rStyle w:val="EndnoteReference"/>
          <w:szCs w:val="18"/>
          <w:vertAlign w:val="baseline"/>
        </w:rPr>
        <w:endnoteRef/>
      </w:r>
      <w:r>
        <w:t>]</w:t>
      </w:r>
      <w:r w:rsidRPr="00930DA1">
        <w:tab/>
      </w:r>
      <w:r w:rsidRPr="005D0012">
        <w:t>Alexander, DJ; Collins, CJ; Coombs, DW; Gilkison, IS; Hardy, CJ; Healey, G; Karantabias, G; Johnson, N; Karlsson, A; Kilgour, JD; McDonald, P. Association of Inhalation Toxicologists (AIT) working party recommendation for standard delivered dose calculation and expression in non-clinical aerosol inhalation toxicology studies with pharmaceuticals. Inhal. Toxicol.</w:t>
      </w:r>
      <w:r w:rsidR="002B4A3B">
        <w:t xml:space="preserve"> 2008;</w:t>
      </w:r>
      <w:r w:rsidRPr="005D0012">
        <w:t xml:space="preserve"> 20(13):</w:t>
      </w:r>
      <w:r w:rsidR="002B4A3B">
        <w:t xml:space="preserve"> pp</w:t>
      </w:r>
      <w:r w:rsidR="00795B49">
        <w:t xml:space="preserve"> </w:t>
      </w:r>
      <w:r w:rsidRPr="005D0012">
        <w:t>1179-1189</w:t>
      </w:r>
      <w:r w:rsidRPr="00CC1B69">
        <w:t>.</w:t>
      </w:r>
    </w:p>
  </w:endnote>
  <w:endnote w:id="6">
    <w:p w14:paraId="2979407B" w14:textId="6415BE7E" w:rsidR="009114DF" w:rsidRPr="00CC1B69" w:rsidRDefault="009114DF" w:rsidP="009114DF">
      <w:pPr>
        <w:pStyle w:val="DDLReferences"/>
        <w:keepNext/>
      </w:pPr>
      <w:r>
        <w:t>[</w:t>
      </w:r>
      <w:r w:rsidRPr="00D1209B">
        <w:rPr>
          <w:rStyle w:val="EndnoteReference"/>
          <w:szCs w:val="18"/>
          <w:vertAlign w:val="baseline"/>
        </w:rPr>
        <w:endnoteRef/>
      </w:r>
      <w:r>
        <w:t>]</w:t>
      </w:r>
      <w:r w:rsidRPr="00930DA1">
        <w:tab/>
      </w:r>
      <w:r w:rsidRPr="009114DF">
        <w:t>International Conference on Harmonisation of Technical Requirements for Registration of Pharmaceuticals for Human Use (ICH). June 11, 2009. Guidance on Nonclinical Safety Studies for the Conduct of Human Clinical Trials and Marketing Authorization for Pharmaceuticals M3(R2). ICH Harmonised Tripartite Guideline M3(R2). 31p.</w:t>
      </w:r>
    </w:p>
  </w:endnote>
  <w:endnote w:id="7">
    <w:p w14:paraId="747A6F95" w14:textId="4012A4BC" w:rsidR="009114DF" w:rsidRPr="00CC1B69" w:rsidRDefault="009114DF" w:rsidP="009114DF">
      <w:pPr>
        <w:pStyle w:val="DDLReferences"/>
        <w:keepNext/>
      </w:pPr>
      <w:r>
        <w:t>[</w:t>
      </w:r>
      <w:r w:rsidRPr="00D1209B">
        <w:rPr>
          <w:rStyle w:val="EndnoteReference"/>
          <w:szCs w:val="18"/>
          <w:vertAlign w:val="baseline"/>
        </w:rPr>
        <w:endnoteRef/>
      </w:r>
      <w:r>
        <w:t>]</w:t>
      </w:r>
      <w:r w:rsidRPr="00930DA1">
        <w:tab/>
      </w:r>
      <w:r w:rsidRPr="009114DF">
        <w:t>US Food and Drug Administration (US FDA), Center for Drug Evaluation and Research and Center for Biologics Evaluation and Research. May 2005. "Guidance for Industry: Nonclinical Studies for the Safety Evaluation of Pharmaceutical Excipients." 12p.</w:t>
      </w:r>
    </w:p>
  </w:endnote>
  <w:endnote w:id="8">
    <w:p w14:paraId="30673E74" w14:textId="6DFD228E" w:rsidR="005D0012" w:rsidRPr="00CC1B69" w:rsidRDefault="005D0012" w:rsidP="005D0012">
      <w:pPr>
        <w:pStyle w:val="DDLReferences"/>
        <w:keepNext/>
      </w:pPr>
      <w:r>
        <w:t>[</w:t>
      </w:r>
      <w:r w:rsidRPr="00D1209B">
        <w:rPr>
          <w:rStyle w:val="EndnoteReference"/>
          <w:szCs w:val="18"/>
          <w:vertAlign w:val="baseline"/>
        </w:rPr>
        <w:endnoteRef/>
      </w:r>
      <w:r>
        <w:t>]</w:t>
      </w:r>
      <w:r w:rsidRPr="00930DA1">
        <w:tab/>
      </w:r>
      <w:r w:rsidR="00CC3B3F" w:rsidRPr="00CC3B3F">
        <w:t>Redman TK, Rudolph K, Barr EB, Bowen LE, Muggenburg BA, Bice DE. Pulmonary immunity to ragweed in a Beagle dog model of allergic asthma. Exp Lung Res. 2001;27(5):</w:t>
      </w:r>
      <w:r w:rsidR="002B4A3B">
        <w:t xml:space="preserve"> pp </w:t>
      </w:r>
      <w:r w:rsidR="00CC3B3F" w:rsidRPr="00CC3B3F">
        <w:t>433-451. doi:10.1080/019021401300317143</w:t>
      </w:r>
    </w:p>
  </w:endnote>
  <w:endnote w:id="9">
    <w:p w14:paraId="69C07A27" w14:textId="6BA6A701" w:rsidR="005D0012" w:rsidRPr="00CC1B69" w:rsidRDefault="005D0012" w:rsidP="005D0012">
      <w:pPr>
        <w:pStyle w:val="DDLReferences"/>
        <w:keepNext/>
      </w:pPr>
      <w:r>
        <w:t>[</w:t>
      </w:r>
      <w:r w:rsidRPr="00D1209B">
        <w:rPr>
          <w:rStyle w:val="EndnoteReference"/>
          <w:szCs w:val="18"/>
          <w:vertAlign w:val="baseline"/>
        </w:rPr>
        <w:endnoteRef/>
      </w:r>
      <w:r>
        <w:t>]</w:t>
      </w:r>
      <w:r w:rsidRPr="00930DA1">
        <w:tab/>
      </w:r>
      <w:r w:rsidR="00056FFE" w:rsidRPr="00056FFE">
        <w:t>Kuehl, PJ</w:t>
      </w:r>
      <w:r w:rsidR="00056FFE">
        <w:t>;</w:t>
      </w:r>
      <w:r w:rsidR="00056FFE" w:rsidRPr="00056FFE">
        <w:t xml:space="preserve"> Barrett, EG</w:t>
      </w:r>
      <w:r w:rsidR="00056FFE">
        <w:t>;</w:t>
      </w:r>
      <w:r w:rsidR="00056FFE" w:rsidRPr="00056FFE">
        <w:t xml:space="preserve"> McDonald, JD</w:t>
      </w:r>
      <w:r w:rsidR="00056FFE">
        <w:t>;</w:t>
      </w:r>
      <w:r w:rsidR="00056FFE" w:rsidRPr="00056FFE">
        <w:t xml:space="preserve"> Rudolph, K</w:t>
      </w:r>
      <w:r w:rsidR="00056FFE">
        <w:t>;</w:t>
      </w:r>
      <w:r w:rsidR="00056FFE" w:rsidRPr="00056FFE">
        <w:t xml:space="preserve"> Vodak, D</w:t>
      </w:r>
      <w:r w:rsidR="00056FFE">
        <w:t>;</w:t>
      </w:r>
      <w:r w:rsidR="00056FFE" w:rsidRPr="00056FFE">
        <w:t xml:space="preserve"> Dobry, D</w:t>
      </w:r>
      <w:r w:rsidR="00056FFE">
        <w:t>;</w:t>
      </w:r>
      <w:r w:rsidR="00056FFE" w:rsidRPr="00056FFE">
        <w:t xml:space="preserve"> Lyon, D</w:t>
      </w:r>
      <w:r w:rsidR="00CC3B3F" w:rsidRPr="00056FFE">
        <w:t>.</w:t>
      </w:r>
      <w:r w:rsidR="00CC3B3F" w:rsidRPr="00CC3B3F">
        <w:t xml:space="preserve"> Formulation development and in vivo evaluation of a new dry powder formulation of albuterol sulphate in beagle dogs. Pharm Res. 2010;27(5):</w:t>
      </w:r>
      <w:r w:rsidR="002B4A3B">
        <w:t xml:space="preserve"> pp </w:t>
      </w:r>
      <w:r w:rsidR="00CC3B3F" w:rsidRPr="00CC3B3F">
        <w:t>894-904. doi:10.1007/s11095-010-0084-z</w:t>
      </w:r>
    </w:p>
  </w:endnote>
  <w:endnote w:id="10">
    <w:p w14:paraId="6204F4E9" w14:textId="3B82A5B4" w:rsidR="005D0012" w:rsidRPr="00CC1B69" w:rsidRDefault="005D0012" w:rsidP="005D0012">
      <w:pPr>
        <w:pStyle w:val="DDLReferences"/>
        <w:keepNext/>
      </w:pPr>
      <w:r>
        <w:t>[</w:t>
      </w:r>
      <w:r w:rsidRPr="00D1209B">
        <w:rPr>
          <w:rStyle w:val="EndnoteReference"/>
          <w:szCs w:val="18"/>
          <w:vertAlign w:val="baseline"/>
        </w:rPr>
        <w:endnoteRef/>
      </w:r>
      <w:r>
        <w:t>]</w:t>
      </w:r>
      <w:r w:rsidRPr="00930DA1">
        <w:tab/>
      </w:r>
      <w:r w:rsidR="00CC3B3F" w:rsidRPr="00CC3B3F">
        <w:t>Karol, MH. 1995. Assays to Evaluate Pulmonary Hypersensitivity. In Methods in Immunotoxicology, Vol. 2 (G.R. Burleson, J.H. Dean, and A.E. Munson, Eds.), pp 401-409, Wiley-Liss, New York.</w:t>
      </w:r>
    </w:p>
  </w:endnote>
  <w:endnote w:id="11">
    <w:p w14:paraId="3F734DDF" w14:textId="4AA05930" w:rsidR="005D0012" w:rsidRPr="00CC1B69" w:rsidRDefault="005D0012" w:rsidP="005D0012">
      <w:pPr>
        <w:pStyle w:val="DDLReferences"/>
        <w:keepNext/>
      </w:pPr>
      <w:r>
        <w:t>[</w:t>
      </w:r>
      <w:r w:rsidRPr="00D1209B">
        <w:rPr>
          <w:rStyle w:val="EndnoteReference"/>
          <w:szCs w:val="18"/>
          <w:vertAlign w:val="baseline"/>
        </w:rPr>
        <w:endnoteRef/>
      </w:r>
      <w:r>
        <w:t>]</w:t>
      </w:r>
      <w:r w:rsidR="0053094B">
        <w:tab/>
      </w:r>
      <w:r w:rsidR="00CC3B3F" w:rsidRPr="00CC3B3F">
        <w:t>Reinhardt, CF; Azar, A; Maxfield, ME; Smith, PE; Mullin, LS. Cardiac arrhythmias and aerosol "sniffing.</w:t>
      </w:r>
      <w:r w:rsidR="00F579FD">
        <w:t>"</w:t>
      </w:r>
      <w:r w:rsidR="00CC3B3F" w:rsidRPr="00CC3B3F">
        <w:t xml:space="preserve"> Arch. Environ. Health</w:t>
      </w:r>
      <w:r w:rsidR="00E459AC">
        <w:t>. 1971;</w:t>
      </w:r>
      <w:r w:rsidR="00CC3B3F" w:rsidRPr="00CC3B3F">
        <w:t xml:space="preserve"> 22(2):</w:t>
      </w:r>
      <w:r w:rsidR="00795B49">
        <w:t xml:space="preserve"> pp </w:t>
      </w:r>
      <w:r w:rsidR="00CC3B3F" w:rsidRPr="00CC3B3F">
        <w:t>265-279. doi: 10.1080/00039896.1971.10665840.</w:t>
      </w:r>
    </w:p>
  </w:endnote>
  <w:endnote w:id="12">
    <w:p w14:paraId="3BBFB986" w14:textId="5FEB768C" w:rsidR="005D0012" w:rsidRPr="00CC1B69" w:rsidRDefault="005D0012" w:rsidP="005D0012">
      <w:pPr>
        <w:pStyle w:val="DDLReferences"/>
        <w:keepNext/>
      </w:pPr>
      <w:r w:rsidRPr="00761250">
        <w:rPr>
          <w:lang w:val="de-DE"/>
        </w:rPr>
        <w:t>[</w:t>
      </w:r>
      <w:r w:rsidRPr="00D1209B">
        <w:rPr>
          <w:rStyle w:val="EndnoteReference"/>
          <w:szCs w:val="18"/>
          <w:vertAlign w:val="baseline"/>
        </w:rPr>
        <w:endnoteRef/>
      </w:r>
      <w:r w:rsidRPr="00761250">
        <w:rPr>
          <w:lang w:val="de-DE"/>
        </w:rPr>
        <w:t>]</w:t>
      </w:r>
      <w:r w:rsidRPr="00761250">
        <w:rPr>
          <w:lang w:val="de-DE"/>
        </w:rPr>
        <w:tab/>
      </w:r>
      <w:r w:rsidR="0053094B" w:rsidRPr="00761250">
        <w:rPr>
          <w:lang w:val="de-DE"/>
        </w:rPr>
        <w:t xml:space="preserve"> </w:t>
      </w:r>
      <w:r w:rsidR="00CC3B3F" w:rsidRPr="00761250">
        <w:rPr>
          <w:lang w:val="de-DE"/>
        </w:rPr>
        <w:t xml:space="preserve">Brock, WJ; Rusch, GM; Trochimowicz, HJ. </w:t>
      </w:r>
      <w:r w:rsidR="00CC3B3F" w:rsidRPr="00CC3B3F">
        <w:t xml:space="preserve">Cardiac sensitization: Methodology and interpretation in risk assessment. Regul. Toxicol. Pharmacol. </w:t>
      </w:r>
      <w:r w:rsidR="00E459AC">
        <w:t xml:space="preserve">2003; </w:t>
      </w:r>
      <w:r w:rsidR="00CC3B3F" w:rsidRPr="00CC3B3F">
        <w:t>38(1):</w:t>
      </w:r>
      <w:r w:rsidR="00795B49">
        <w:t xml:space="preserve"> pp </w:t>
      </w:r>
      <w:r w:rsidR="00CC3B3F" w:rsidRPr="00CC3B3F">
        <w:t>78-90.</w:t>
      </w:r>
    </w:p>
  </w:endnote>
  <w:endnote w:id="13">
    <w:p w14:paraId="575A2209" w14:textId="606C005C" w:rsidR="005D0012" w:rsidRDefault="005D0012" w:rsidP="005D0012">
      <w:pPr>
        <w:pStyle w:val="DDLReferences"/>
        <w:keepNext/>
      </w:pPr>
      <w:r>
        <w:t>[</w:t>
      </w:r>
      <w:r w:rsidRPr="00D1209B">
        <w:rPr>
          <w:rStyle w:val="EndnoteReference"/>
          <w:szCs w:val="18"/>
          <w:vertAlign w:val="baseline"/>
        </w:rPr>
        <w:endnoteRef/>
      </w:r>
      <w:r>
        <w:t>]</w:t>
      </w:r>
      <w:r w:rsidRPr="00930DA1">
        <w:tab/>
      </w:r>
      <w:r w:rsidR="0053094B">
        <w:t xml:space="preserve"> </w:t>
      </w:r>
      <w:r w:rsidR="00CC3B3F" w:rsidRPr="00CC3B3F">
        <w:t xml:space="preserve">European Centre for Ecotoxicology and Toxicology of Chemicals (ECETOC). September 2009. Evaluation of Cardiac Sensitisation Test Methods. ECETOC Technical Report No. 105. 97p. Accessed at </w:t>
      </w:r>
      <w:r w:rsidR="00C938FD" w:rsidRPr="00C938FD">
        <w:t>http://www.ecetoc.org/wp-content/uploads/2014/08/ECETOC-TR-105.pdf</w:t>
      </w:r>
      <w:r w:rsidR="00CC3B3F" w:rsidRPr="00CC3B3F">
        <w:t>.</w:t>
      </w:r>
    </w:p>
    <w:p w14:paraId="75849AEB" w14:textId="32F4E24E" w:rsidR="00C938FD" w:rsidRDefault="00C938FD" w:rsidP="005D0012">
      <w:pPr>
        <w:pStyle w:val="DDLReferences"/>
        <w:keepNext/>
      </w:pPr>
      <w:r>
        <w:t>[</w:t>
      </w:r>
      <w:r>
        <w:rPr>
          <w:szCs w:val="18"/>
        </w:rPr>
        <w:t>14</w:t>
      </w:r>
      <w:r>
        <w:t>]</w:t>
      </w:r>
      <w:r w:rsidRPr="00930DA1">
        <w:tab/>
      </w:r>
      <w:r>
        <w:t xml:space="preserve"> </w:t>
      </w:r>
      <w:r w:rsidRPr="004766D3">
        <w:t xml:space="preserve">International Conference on Harmonisation of Technical Requirements for Registration of Pharmaceuticals for Human Use (ICH). </w:t>
      </w:r>
      <w:r>
        <w:t>April 14, 2020</w:t>
      </w:r>
      <w:r w:rsidRPr="004766D3">
        <w:t>. "</w:t>
      </w:r>
      <w:r>
        <w:t>N</w:t>
      </w:r>
      <w:r w:rsidRPr="004766D3">
        <w:t>onclinical Safety</w:t>
      </w:r>
      <w:r>
        <w:t xml:space="preserve"> Testing in Support of Development of Paediatric Pharmaceuticals</w:t>
      </w:r>
      <w:r w:rsidRPr="004766D3">
        <w:t xml:space="preserve">." ICH Harmonised Guideline </w:t>
      </w:r>
      <w:r>
        <w:t>S11</w:t>
      </w:r>
      <w:r w:rsidRPr="004766D3">
        <w:t xml:space="preserve">. </w:t>
      </w:r>
      <w:r>
        <w:t>39</w:t>
      </w:r>
      <w:r w:rsidRPr="004766D3">
        <w:t>p</w:t>
      </w:r>
    </w:p>
    <w:p w14:paraId="779AA393" w14:textId="7C17227B" w:rsidR="00253A1A" w:rsidRDefault="00EB7C81" w:rsidP="00EB7C81">
      <w:pPr>
        <w:pStyle w:val="DDLHeading1"/>
        <w:rPr>
          <w:sz w:val="20"/>
        </w:rPr>
      </w:pPr>
      <w:r>
        <w:rPr>
          <w:sz w:val="20"/>
        </w:rPr>
        <w:t>Acknowledgements</w:t>
      </w:r>
    </w:p>
    <w:p w14:paraId="1E92B81B" w14:textId="74F9399B" w:rsidR="00EB7C81" w:rsidRPr="00EB7C81" w:rsidRDefault="00EB7C81" w:rsidP="00EB7C81">
      <w:pPr>
        <w:pStyle w:val="DDLBodyText"/>
      </w:pPr>
      <w:r>
        <w:t xml:space="preserve">The authors acknowledge the contributions and expertise of the laboratory staff at Lovelace Biomedical and Charles River Laboratories.  In particular, </w:t>
      </w:r>
      <w:r w:rsidR="00C67960">
        <w:t xml:space="preserve">the authors acknowledge </w:t>
      </w:r>
      <w:r>
        <w:t xml:space="preserve">Melanie </w:t>
      </w:r>
      <w:r w:rsidR="00874255">
        <w:t>Doyle-Eisele, Philip Kuehl, Edward Barret</w:t>
      </w:r>
      <w:r w:rsidR="0029384F">
        <w:t>t</w:t>
      </w:r>
      <w:r w:rsidR="00874255">
        <w:t xml:space="preserve">, Jeremy Brower, </w:t>
      </w:r>
      <w:r w:rsidR="00B342F6">
        <w:t xml:space="preserve">Anita Lopez, </w:t>
      </w:r>
      <w:r w:rsidR="00874255">
        <w:t>Jaime Mesnard, and Brian Kress.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0BCC1F" w14:textId="77777777" w:rsidR="00A44C47" w:rsidRDefault="00A44C47" w:rsidP="00A515A9">
      <w:pPr>
        <w:spacing w:after="0"/>
      </w:pPr>
      <w:r>
        <w:separator/>
      </w:r>
    </w:p>
  </w:footnote>
  <w:footnote w:type="continuationSeparator" w:id="0">
    <w:p w14:paraId="00D1276B" w14:textId="77777777" w:rsidR="00A44C47" w:rsidRDefault="00A44C47"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0EE3C2E6"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761250">
      <w:rPr>
        <w:i/>
      </w:rPr>
      <w:t>4</w:t>
    </w:r>
    <w:r w:rsidR="008C5C57" w:rsidRPr="003C58EE">
      <w:rPr>
        <w:i/>
      </w:rPr>
      <w:t>,</w:t>
    </w:r>
    <w:r w:rsidR="00964A86" w:rsidRPr="003C58EE">
      <w:rPr>
        <w:i/>
      </w:rPr>
      <w:t xml:space="preserve"> 20</w:t>
    </w:r>
    <w:r w:rsidR="00F27E20" w:rsidRPr="003C58EE">
      <w:rPr>
        <w:i/>
      </w:rPr>
      <w:t>2</w:t>
    </w:r>
    <w:r w:rsidR="00761250">
      <w:rPr>
        <w:i/>
      </w:rPr>
      <w:t>3</w:t>
    </w:r>
    <w:r w:rsidR="00964A86" w:rsidRPr="003C58EE">
      <w:rPr>
        <w:i/>
      </w:rPr>
      <w:t xml:space="preserve"> </w:t>
    </w:r>
    <w:r w:rsidRPr="003C58EE">
      <w:rPr>
        <w:i/>
      </w:rPr>
      <w:t>-</w:t>
    </w:r>
    <w:r w:rsidRPr="00FC61E2">
      <w:t xml:space="preserve"> </w:t>
    </w:r>
    <w:r w:rsidR="00990C1E" w:rsidRPr="00761250">
      <w:rPr>
        <w:i/>
        <w:iCs/>
      </w:rPr>
      <w:fldChar w:fldCharType="begin"/>
    </w:r>
    <w:r w:rsidR="00990C1E" w:rsidRPr="00761250">
      <w:rPr>
        <w:i/>
        <w:iCs/>
      </w:rPr>
      <w:instrText xml:space="preserve"> REF Title \h  \* MERGEFORMAT </w:instrText>
    </w:r>
    <w:r w:rsidR="00990C1E" w:rsidRPr="00761250">
      <w:rPr>
        <w:i/>
        <w:iCs/>
      </w:rPr>
    </w:r>
    <w:r w:rsidR="00990C1E" w:rsidRPr="00761250">
      <w:rPr>
        <w:i/>
        <w:iCs/>
      </w:rPr>
      <w:fldChar w:fldCharType="separate"/>
    </w:r>
    <w:sdt>
      <w:sdtPr>
        <w:rPr>
          <w:i/>
          <w:iCs/>
        </w:rPr>
        <w:alias w:val="Title"/>
        <w:tag w:val="Title"/>
        <w:id w:val="1971778196"/>
        <w:lock w:val="sdtLocked"/>
        <w:placeholder>
          <w:docPart w:val="6AE10E372E854FF1A6AA578A93AA68CB"/>
        </w:placeholder>
      </w:sdtPr>
      <w:sdtContent>
        <w:r w:rsidR="00031B15" w:rsidRPr="00761250">
          <w:rPr>
            <w:rStyle w:val="PlaceholderText"/>
            <w:i/>
            <w:iCs/>
            <w:color w:val="auto"/>
          </w:rPr>
          <w:t>Overview of the Nonclinical</w:t>
        </w:r>
        <w:r w:rsidR="00031B15" w:rsidRPr="00761250">
          <w:rPr>
            <w:rStyle w:val="PlaceholderText"/>
            <w:i/>
            <w:iCs/>
          </w:rPr>
          <w:t xml:space="preserve"> </w:t>
        </w:r>
        <w:r w:rsidR="00031B15" w:rsidRPr="00761250">
          <w:rPr>
            <w:i/>
            <w:iCs/>
          </w:rPr>
          <w:t xml:space="preserve">Safety Program for 1,1-Difluoroethane (HFA-152a) as a </w:t>
        </w:r>
        <w:r w:rsidR="003D2100" w:rsidRPr="00761250">
          <w:rPr>
            <w:i/>
            <w:iCs/>
          </w:rPr>
          <w:t>Low Global Warming Potential</w:t>
        </w:r>
        <w:r w:rsidR="00031B15" w:rsidRPr="00761250">
          <w:rPr>
            <w:i/>
            <w:iCs/>
          </w:rPr>
          <w:t xml:space="preserve"> Metered Dose Inhaler Propellant</w:t>
        </w:r>
      </w:sdtContent>
    </w:sdt>
    <w:r w:rsidR="00990C1E" w:rsidRPr="00761250">
      <w:rPr>
        <w:i/>
        <w:iCs/>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3ABA9443"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1092631327"/>
        <w:lock w:val="sdtLocked"/>
        <w:placeholder>
          <w:docPart w:val="F21F416D9134486DAB638E8A1ECD2DBF"/>
        </w:placeholder>
      </w:sdtPr>
      <w:sdtEndPr>
        <w:rPr>
          <w:rStyle w:val="PlaceholderText"/>
          <w:color w:val="808080"/>
        </w:rPr>
      </w:sdtEndPr>
      <w:sdtContent>
        <w:r w:rsidR="00031B15" w:rsidRPr="00031B15">
          <w:rPr>
            <w:rStyle w:val="PlaceholderText"/>
            <w:i/>
            <w:color w:val="auto"/>
          </w:rPr>
          <w:t>Mohar I</w:t>
        </w:r>
      </w:sdtContent>
    </w:sdt>
    <w:r w:rsidR="00990C1E" w:rsidRPr="00BD7DE3">
      <w:rPr>
        <w:i/>
      </w:rPr>
      <w:fldChar w:fldCharType="end"/>
    </w:r>
    <w:r w:rsidR="00964A86" w:rsidRPr="00BD7DE3">
      <w:rPr>
        <w:i/>
      </w:rPr>
      <w:t xml:space="preserve">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40135250">
    <w:abstractNumId w:val="4"/>
  </w:num>
  <w:num w:numId="2" w16cid:durableId="1708680172">
    <w:abstractNumId w:val="0"/>
  </w:num>
  <w:num w:numId="3" w16cid:durableId="1352220072">
    <w:abstractNumId w:val="2"/>
  </w:num>
  <w:num w:numId="4" w16cid:durableId="754211125">
    <w:abstractNumId w:val="3"/>
  </w:num>
  <w:num w:numId="5" w16cid:durableId="16562982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715D"/>
    <w:rsid w:val="00011DBE"/>
    <w:rsid w:val="00013A08"/>
    <w:rsid w:val="0001616D"/>
    <w:rsid w:val="00016641"/>
    <w:rsid w:val="00022079"/>
    <w:rsid w:val="0002536D"/>
    <w:rsid w:val="00031B15"/>
    <w:rsid w:val="00032260"/>
    <w:rsid w:val="0003282C"/>
    <w:rsid w:val="00041821"/>
    <w:rsid w:val="00042D62"/>
    <w:rsid w:val="000538BA"/>
    <w:rsid w:val="00054372"/>
    <w:rsid w:val="00056FFE"/>
    <w:rsid w:val="0006036C"/>
    <w:rsid w:val="0006467A"/>
    <w:rsid w:val="00083081"/>
    <w:rsid w:val="000864CE"/>
    <w:rsid w:val="000927F7"/>
    <w:rsid w:val="00092F1D"/>
    <w:rsid w:val="00095B9E"/>
    <w:rsid w:val="00097ECC"/>
    <w:rsid w:val="000A2590"/>
    <w:rsid w:val="000A537A"/>
    <w:rsid w:val="000A5A12"/>
    <w:rsid w:val="000B44AB"/>
    <w:rsid w:val="000B489B"/>
    <w:rsid w:val="000D60A3"/>
    <w:rsid w:val="000E77D5"/>
    <w:rsid w:val="00103D4F"/>
    <w:rsid w:val="00104171"/>
    <w:rsid w:val="0012224E"/>
    <w:rsid w:val="00126944"/>
    <w:rsid w:val="0012719B"/>
    <w:rsid w:val="00134FB6"/>
    <w:rsid w:val="00143D0E"/>
    <w:rsid w:val="00143D97"/>
    <w:rsid w:val="001465FD"/>
    <w:rsid w:val="001516A0"/>
    <w:rsid w:val="00160344"/>
    <w:rsid w:val="001604DB"/>
    <w:rsid w:val="0016779A"/>
    <w:rsid w:val="00187060"/>
    <w:rsid w:val="001870AE"/>
    <w:rsid w:val="001942DB"/>
    <w:rsid w:val="001A533E"/>
    <w:rsid w:val="001A77D1"/>
    <w:rsid w:val="001B0E1B"/>
    <w:rsid w:val="001C1A34"/>
    <w:rsid w:val="001E0AF9"/>
    <w:rsid w:val="001E33DA"/>
    <w:rsid w:val="001F70F6"/>
    <w:rsid w:val="001F79B3"/>
    <w:rsid w:val="00202725"/>
    <w:rsid w:val="00210F4C"/>
    <w:rsid w:val="00217845"/>
    <w:rsid w:val="00220A13"/>
    <w:rsid w:val="00220A52"/>
    <w:rsid w:val="002313C3"/>
    <w:rsid w:val="00231C18"/>
    <w:rsid w:val="00252512"/>
    <w:rsid w:val="00253A1A"/>
    <w:rsid w:val="002652B5"/>
    <w:rsid w:val="002666D8"/>
    <w:rsid w:val="00271244"/>
    <w:rsid w:val="00275EA8"/>
    <w:rsid w:val="00283F05"/>
    <w:rsid w:val="00287EA3"/>
    <w:rsid w:val="0029067A"/>
    <w:rsid w:val="0029384F"/>
    <w:rsid w:val="00297D71"/>
    <w:rsid w:val="002A0027"/>
    <w:rsid w:val="002A33C6"/>
    <w:rsid w:val="002A3E34"/>
    <w:rsid w:val="002B4A3B"/>
    <w:rsid w:val="002B74ED"/>
    <w:rsid w:val="002C3CE6"/>
    <w:rsid w:val="002C5762"/>
    <w:rsid w:val="002E2D77"/>
    <w:rsid w:val="002E77AE"/>
    <w:rsid w:val="002F0B70"/>
    <w:rsid w:val="002F38E3"/>
    <w:rsid w:val="00304D7D"/>
    <w:rsid w:val="00311E4A"/>
    <w:rsid w:val="00313E6F"/>
    <w:rsid w:val="0031528C"/>
    <w:rsid w:val="00321AE1"/>
    <w:rsid w:val="00323959"/>
    <w:rsid w:val="00323A0A"/>
    <w:rsid w:val="00323FE7"/>
    <w:rsid w:val="0033185B"/>
    <w:rsid w:val="0034725F"/>
    <w:rsid w:val="0035193C"/>
    <w:rsid w:val="003536B0"/>
    <w:rsid w:val="003548B9"/>
    <w:rsid w:val="00354915"/>
    <w:rsid w:val="00361753"/>
    <w:rsid w:val="0036379B"/>
    <w:rsid w:val="00366F6E"/>
    <w:rsid w:val="00387ECA"/>
    <w:rsid w:val="0039248E"/>
    <w:rsid w:val="003B1031"/>
    <w:rsid w:val="003B383B"/>
    <w:rsid w:val="003B65D1"/>
    <w:rsid w:val="003B7DCD"/>
    <w:rsid w:val="003C568E"/>
    <w:rsid w:val="003C58EE"/>
    <w:rsid w:val="003C6A3B"/>
    <w:rsid w:val="003D10FC"/>
    <w:rsid w:val="003D2100"/>
    <w:rsid w:val="003D3DDE"/>
    <w:rsid w:val="003D4563"/>
    <w:rsid w:val="003D6883"/>
    <w:rsid w:val="003D7C47"/>
    <w:rsid w:val="003E5D10"/>
    <w:rsid w:val="003F1F72"/>
    <w:rsid w:val="003F37A9"/>
    <w:rsid w:val="004011B2"/>
    <w:rsid w:val="00404A4E"/>
    <w:rsid w:val="0040614F"/>
    <w:rsid w:val="00406849"/>
    <w:rsid w:val="0041018A"/>
    <w:rsid w:val="00424C98"/>
    <w:rsid w:val="00427F09"/>
    <w:rsid w:val="00442036"/>
    <w:rsid w:val="00444A63"/>
    <w:rsid w:val="00447700"/>
    <w:rsid w:val="004766D3"/>
    <w:rsid w:val="00476F1D"/>
    <w:rsid w:val="00490C5A"/>
    <w:rsid w:val="0049412E"/>
    <w:rsid w:val="00496006"/>
    <w:rsid w:val="004A684A"/>
    <w:rsid w:val="004B15CC"/>
    <w:rsid w:val="004B2051"/>
    <w:rsid w:val="004B6D88"/>
    <w:rsid w:val="004C1847"/>
    <w:rsid w:val="004C683A"/>
    <w:rsid w:val="004F7E1D"/>
    <w:rsid w:val="004F7F64"/>
    <w:rsid w:val="00503AA6"/>
    <w:rsid w:val="00524DC8"/>
    <w:rsid w:val="00526B3B"/>
    <w:rsid w:val="005302DC"/>
    <w:rsid w:val="005303CA"/>
    <w:rsid w:val="0053094B"/>
    <w:rsid w:val="005357DB"/>
    <w:rsid w:val="00541400"/>
    <w:rsid w:val="00541F41"/>
    <w:rsid w:val="00544864"/>
    <w:rsid w:val="00544FB7"/>
    <w:rsid w:val="00562DEA"/>
    <w:rsid w:val="00565D5A"/>
    <w:rsid w:val="0057036B"/>
    <w:rsid w:val="00575543"/>
    <w:rsid w:val="00582113"/>
    <w:rsid w:val="00591DC8"/>
    <w:rsid w:val="00593A46"/>
    <w:rsid w:val="00596663"/>
    <w:rsid w:val="005979B1"/>
    <w:rsid w:val="005B5FD9"/>
    <w:rsid w:val="005D0012"/>
    <w:rsid w:val="005D1383"/>
    <w:rsid w:val="005D441D"/>
    <w:rsid w:val="005D7A91"/>
    <w:rsid w:val="005F4472"/>
    <w:rsid w:val="005F47A1"/>
    <w:rsid w:val="006047B7"/>
    <w:rsid w:val="00613573"/>
    <w:rsid w:val="006220F6"/>
    <w:rsid w:val="00623DF2"/>
    <w:rsid w:val="00627DD1"/>
    <w:rsid w:val="00631B86"/>
    <w:rsid w:val="00642787"/>
    <w:rsid w:val="00660395"/>
    <w:rsid w:val="00671088"/>
    <w:rsid w:val="0067497E"/>
    <w:rsid w:val="00676DA7"/>
    <w:rsid w:val="00677708"/>
    <w:rsid w:val="00686D0B"/>
    <w:rsid w:val="00694838"/>
    <w:rsid w:val="00697AE7"/>
    <w:rsid w:val="006A547F"/>
    <w:rsid w:val="006A7D26"/>
    <w:rsid w:val="006B12B5"/>
    <w:rsid w:val="006B3D22"/>
    <w:rsid w:val="006C79F1"/>
    <w:rsid w:val="006D5B74"/>
    <w:rsid w:val="006D5C7F"/>
    <w:rsid w:val="006E1C6F"/>
    <w:rsid w:val="006F0288"/>
    <w:rsid w:val="0070763C"/>
    <w:rsid w:val="00711C1F"/>
    <w:rsid w:val="00713176"/>
    <w:rsid w:val="00715F4B"/>
    <w:rsid w:val="00724DBD"/>
    <w:rsid w:val="007279FB"/>
    <w:rsid w:val="007313E8"/>
    <w:rsid w:val="00754CFC"/>
    <w:rsid w:val="00761250"/>
    <w:rsid w:val="007661C6"/>
    <w:rsid w:val="007735FD"/>
    <w:rsid w:val="00774B8F"/>
    <w:rsid w:val="00774E51"/>
    <w:rsid w:val="00781E78"/>
    <w:rsid w:val="0078212D"/>
    <w:rsid w:val="00784010"/>
    <w:rsid w:val="00784498"/>
    <w:rsid w:val="00787F68"/>
    <w:rsid w:val="00793762"/>
    <w:rsid w:val="00795B49"/>
    <w:rsid w:val="007A721A"/>
    <w:rsid w:val="007B2BEC"/>
    <w:rsid w:val="007B2D9E"/>
    <w:rsid w:val="007B38B6"/>
    <w:rsid w:val="007B6419"/>
    <w:rsid w:val="007C1C09"/>
    <w:rsid w:val="007C2BF9"/>
    <w:rsid w:val="007D1BC2"/>
    <w:rsid w:val="007D307A"/>
    <w:rsid w:val="007E1259"/>
    <w:rsid w:val="007E2F09"/>
    <w:rsid w:val="007E4351"/>
    <w:rsid w:val="008015BF"/>
    <w:rsid w:val="00804EEB"/>
    <w:rsid w:val="008050EA"/>
    <w:rsid w:val="00821655"/>
    <w:rsid w:val="00836B77"/>
    <w:rsid w:val="00837ED2"/>
    <w:rsid w:val="008443EE"/>
    <w:rsid w:val="0084598F"/>
    <w:rsid w:val="00852676"/>
    <w:rsid w:val="00860916"/>
    <w:rsid w:val="008621D9"/>
    <w:rsid w:val="00866DC8"/>
    <w:rsid w:val="00870B52"/>
    <w:rsid w:val="00872C1A"/>
    <w:rsid w:val="00874255"/>
    <w:rsid w:val="008762F0"/>
    <w:rsid w:val="00881895"/>
    <w:rsid w:val="00885E92"/>
    <w:rsid w:val="00887BD1"/>
    <w:rsid w:val="00895048"/>
    <w:rsid w:val="008A28BE"/>
    <w:rsid w:val="008B02F1"/>
    <w:rsid w:val="008B4BF0"/>
    <w:rsid w:val="008C5C57"/>
    <w:rsid w:val="008C7F2D"/>
    <w:rsid w:val="008D115B"/>
    <w:rsid w:val="008D2C92"/>
    <w:rsid w:val="008D4D8B"/>
    <w:rsid w:val="008D5FBC"/>
    <w:rsid w:val="008D7F19"/>
    <w:rsid w:val="008F2A41"/>
    <w:rsid w:val="00900EE3"/>
    <w:rsid w:val="009114DF"/>
    <w:rsid w:val="00913573"/>
    <w:rsid w:val="0093086C"/>
    <w:rsid w:val="00930DA1"/>
    <w:rsid w:val="0093458B"/>
    <w:rsid w:val="00940396"/>
    <w:rsid w:val="00941946"/>
    <w:rsid w:val="00947E4F"/>
    <w:rsid w:val="0095324F"/>
    <w:rsid w:val="00964A86"/>
    <w:rsid w:val="00964B8E"/>
    <w:rsid w:val="00966CD3"/>
    <w:rsid w:val="00972F32"/>
    <w:rsid w:val="009731DC"/>
    <w:rsid w:val="00974E37"/>
    <w:rsid w:val="00980CA5"/>
    <w:rsid w:val="009818AC"/>
    <w:rsid w:val="00986C4F"/>
    <w:rsid w:val="00990C1E"/>
    <w:rsid w:val="009939A1"/>
    <w:rsid w:val="00996628"/>
    <w:rsid w:val="009A0009"/>
    <w:rsid w:val="009A107B"/>
    <w:rsid w:val="009A1638"/>
    <w:rsid w:val="009A4453"/>
    <w:rsid w:val="009A52B9"/>
    <w:rsid w:val="009A5E01"/>
    <w:rsid w:val="009A78FA"/>
    <w:rsid w:val="009C6C08"/>
    <w:rsid w:val="009D1A31"/>
    <w:rsid w:val="009D1CB7"/>
    <w:rsid w:val="009D5953"/>
    <w:rsid w:val="009D77B3"/>
    <w:rsid w:val="009E0939"/>
    <w:rsid w:val="009E7542"/>
    <w:rsid w:val="009F3615"/>
    <w:rsid w:val="009F5AD3"/>
    <w:rsid w:val="00A0358B"/>
    <w:rsid w:val="00A06192"/>
    <w:rsid w:val="00A13504"/>
    <w:rsid w:val="00A14D1E"/>
    <w:rsid w:val="00A14F14"/>
    <w:rsid w:val="00A44308"/>
    <w:rsid w:val="00A44C47"/>
    <w:rsid w:val="00A46DAE"/>
    <w:rsid w:val="00A47041"/>
    <w:rsid w:val="00A515A9"/>
    <w:rsid w:val="00A5581B"/>
    <w:rsid w:val="00A67298"/>
    <w:rsid w:val="00A81EFF"/>
    <w:rsid w:val="00A82FA6"/>
    <w:rsid w:val="00A94905"/>
    <w:rsid w:val="00A95142"/>
    <w:rsid w:val="00AA1175"/>
    <w:rsid w:val="00AA74BE"/>
    <w:rsid w:val="00AC04A2"/>
    <w:rsid w:val="00AC1795"/>
    <w:rsid w:val="00AD115D"/>
    <w:rsid w:val="00AD3ECC"/>
    <w:rsid w:val="00AD48E3"/>
    <w:rsid w:val="00AE5463"/>
    <w:rsid w:val="00AF4B7C"/>
    <w:rsid w:val="00B00DDA"/>
    <w:rsid w:val="00B122AD"/>
    <w:rsid w:val="00B25B95"/>
    <w:rsid w:val="00B30FD3"/>
    <w:rsid w:val="00B342F6"/>
    <w:rsid w:val="00B412B3"/>
    <w:rsid w:val="00B418FD"/>
    <w:rsid w:val="00B42A7F"/>
    <w:rsid w:val="00B5120E"/>
    <w:rsid w:val="00B5298C"/>
    <w:rsid w:val="00B54843"/>
    <w:rsid w:val="00B55646"/>
    <w:rsid w:val="00B63366"/>
    <w:rsid w:val="00B66744"/>
    <w:rsid w:val="00B719D1"/>
    <w:rsid w:val="00B7616B"/>
    <w:rsid w:val="00B804AB"/>
    <w:rsid w:val="00B906A5"/>
    <w:rsid w:val="00B91AF2"/>
    <w:rsid w:val="00B94313"/>
    <w:rsid w:val="00BA7B1F"/>
    <w:rsid w:val="00BB2738"/>
    <w:rsid w:val="00BB33A4"/>
    <w:rsid w:val="00BC0021"/>
    <w:rsid w:val="00BC30C2"/>
    <w:rsid w:val="00BC3B49"/>
    <w:rsid w:val="00BD68AD"/>
    <w:rsid w:val="00BD70D3"/>
    <w:rsid w:val="00BD7DE3"/>
    <w:rsid w:val="00BE25F1"/>
    <w:rsid w:val="00BE63F2"/>
    <w:rsid w:val="00BF7AAD"/>
    <w:rsid w:val="00C0283C"/>
    <w:rsid w:val="00C120BF"/>
    <w:rsid w:val="00C126B9"/>
    <w:rsid w:val="00C42954"/>
    <w:rsid w:val="00C543B6"/>
    <w:rsid w:val="00C5513E"/>
    <w:rsid w:val="00C578C2"/>
    <w:rsid w:val="00C65A37"/>
    <w:rsid w:val="00C6681A"/>
    <w:rsid w:val="00C67960"/>
    <w:rsid w:val="00C71C80"/>
    <w:rsid w:val="00C72DD4"/>
    <w:rsid w:val="00C911A8"/>
    <w:rsid w:val="00C938FD"/>
    <w:rsid w:val="00C974E1"/>
    <w:rsid w:val="00CB21B5"/>
    <w:rsid w:val="00CC1B69"/>
    <w:rsid w:val="00CC3B3F"/>
    <w:rsid w:val="00CC5803"/>
    <w:rsid w:val="00CC59B4"/>
    <w:rsid w:val="00CE39C8"/>
    <w:rsid w:val="00CE65CC"/>
    <w:rsid w:val="00CF24A7"/>
    <w:rsid w:val="00CF7D1B"/>
    <w:rsid w:val="00D03B59"/>
    <w:rsid w:val="00D075F7"/>
    <w:rsid w:val="00D1209B"/>
    <w:rsid w:val="00D12133"/>
    <w:rsid w:val="00D156FE"/>
    <w:rsid w:val="00D23C41"/>
    <w:rsid w:val="00D25EFE"/>
    <w:rsid w:val="00D26210"/>
    <w:rsid w:val="00D34763"/>
    <w:rsid w:val="00D416C4"/>
    <w:rsid w:val="00D41A7C"/>
    <w:rsid w:val="00D47884"/>
    <w:rsid w:val="00D525AC"/>
    <w:rsid w:val="00D54376"/>
    <w:rsid w:val="00D566D3"/>
    <w:rsid w:val="00D618D6"/>
    <w:rsid w:val="00D67A60"/>
    <w:rsid w:val="00D809A4"/>
    <w:rsid w:val="00D85756"/>
    <w:rsid w:val="00D85CE6"/>
    <w:rsid w:val="00D93537"/>
    <w:rsid w:val="00D9655E"/>
    <w:rsid w:val="00DB1F01"/>
    <w:rsid w:val="00DB349E"/>
    <w:rsid w:val="00DC21C8"/>
    <w:rsid w:val="00DC320D"/>
    <w:rsid w:val="00DC5310"/>
    <w:rsid w:val="00DD4A2D"/>
    <w:rsid w:val="00DD5EB8"/>
    <w:rsid w:val="00DD7915"/>
    <w:rsid w:val="00DE0973"/>
    <w:rsid w:val="00DE0980"/>
    <w:rsid w:val="00DE53F7"/>
    <w:rsid w:val="00DE6AE7"/>
    <w:rsid w:val="00DF1745"/>
    <w:rsid w:val="00DF392A"/>
    <w:rsid w:val="00E00624"/>
    <w:rsid w:val="00E06FC3"/>
    <w:rsid w:val="00E07364"/>
    <w:rsid w:val="00E108CE"/>
    <w:rsid w:val="00E14DBF"/>
    <w:rsid w:val="00E42945"/>
    <w:rsid w:val="00E459AC"/>
    <w:rsid w:val="00E51903"/>
    <w:rsid w:val="00E62590"/>
    <w:rsid w:val="00E627B1"/>
    <w:rsid w:val="00E92FCA"/>
    <w:rsid w:val="00E9667D"/>
    <w:rsid w:val="00E97489"/>
    <w:rsid w:val="00EA347E"/>
    <w:rsid w:val="00EA530D"/>
    <w:rsid w:val="00EB7C81"/>
    <w:rsid w:val="00EC2143"/>
    <w:rsid w:val="00ED4747"/>
    <w:rsid w:val="00ED747C"/>
    <w:rsid w:val="00EE0754"/>
    <w:rsid w:val="00EE7503"/>
    <w:rsid w:val="00EF5015"/>
    <w:rsid w:val="00F07574"/>
    <w:rsid w:val="00F15481"/>
    <w:rsid w:val="00F15D45"/>
    <w:rsid w:val="00F20F19"/>
    <w:rsid w:val="00F2495D"/>
    <w:rsid w:val="00F27E20"/>
    <w:rsid w:val="00F3080A"/>
    <w:rsid w:val="00F431F3"/>
    <w:rsid w:val="00F435EA"/>
    <w:rsid w:val="00F579FD"/>
    <w:rsid w:val="00F61950"/>
    <w:rsid w:val="00F61AE1"/>
    <w:rsid w:val="00F6232A"/>
    <w:rsid w:val="00F81397"/>
    <w:rsid w:val="00F820C4"/>
    <w:rsid w:val="00FA3889"/>
    <w:rsid w:val="00FA6F23"/>
    <w:rsid w:val="00FC33BA"/>
    <w:rsid w:val="00FC61E2"/>
    <w:rsid w:val="00FD125D"/>
    <w:rsid w:val="00FD23E0"/>
    <w:rsid w:val="00FE2845"/>
    <w:rsid w:val="00FE2EE6"/>
    <w:rsid w:val="00FF44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semiHidden/>
    <w:unhideWhenUsed/>
    <w:rsid w:val="0095324F"/>
    <w:rPr>
      <w:sz w:val="20"/>
    </w:rPr>
  </w:style>
  <w:style w:type="character" w:customStyle="1" w:styleId="CommentTextChar">
    <w:name w:val="Comment Text Char"/>
    <w:link w:val="CommentText"/>
    <w:uiPriority w:val="99"/>
    <w:semiHidden/>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semiHidden/>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table" w:styleId="TableGrid">
    <w:name w:val="Table Grid"/>
    <w:basedOn w:val="TableNormal"/>
    <w:uiPriority w:val="59"/>
    <w:rsid w:val="00313E6F"/>
    <w:rPr>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041821"/>
    <w:rPr>
      <w:color w:val="605E5C"/>
      <w:shd w:val="clear" w:color="auto" w:fill="E1DFDD"/>
    </w:rPr>
  </w:style>
  <w:style w:type="character" w:styleId="UnresolvedMention">
    <w:name w:val="Unresolved Mention"/>
    <w:basedOn w:val="DefaultParagraphFont"/>
    <w:uiPriority w:val="99"/>
    <w:semiHidden/>
    <w:unhideWhenUsed/>
    <w:rsid w:val="00C938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633605219">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6AE10E372E854FF1A6AA578A93AA68CB"/>
        <w:category>
          <w:name w:val="General"/>
          <w:gallery w:val="placeholder"/>
        </w:category>
        <w:types>
          <w:type w:val="bbPlcHdr"/>
        </w:types>
        <w:behaviors>
          <w:behavior w:val="content"/>
        </w:behaviors>
        <w:guid w:val="{F643412C-B59A-48D4-BE51-2601BC93F12F}"/>
      </w:docPartPr>
      <w:docPartBody>
        <w:p w:rsidR="00643821" w:rsidRDefault="004B6C95" w:rsidP="004B6C95">
          <w:pPr>
            <w:pStyle w:val="6AE10E372E854FF1A6AA578A93AA68CB"/>
          </w:pPr>
          <w:r w:rsidRPr="00160344">
            <w:rPr>
              <w:rStyle w:val="PlaceholderText"/>
              <w:color w:val="auto"/>
            </w:rPr>
            <w:t>Title of Your Paper</w:t>
          </w:r>
        </w:p>
      </w:docPartBody>
    </w:docPart>
    <w:docPart>
      <w:docPartPr>
        <w:name w:val="F21F416D9134486DAB638E8A1ECD2DBF"/>
        <w:category>
          <w:name w:val="General"/>
          <w:gallery w:val="placeholder"/>
        </w:category>
        <w:types>
          <w:type w:val="bbPlcHdr"/>
        </w:types>
        <w:behaviors>
          <w:behavior w:val="content"/>
        </w:behaviors>
        <w:guid w:val="{54B660A9-261B-475B-B65A-58DFB68F440A}"/>
      </w:docPartPr>
      <w:docPartBody>
        <w:p w:rsidR="00643821" w:rsidRDefault="004B6C95" w:rsidP="004B6C95">
          <w:pPr>
            <w:pStyle w:val="F21F416D9134486DAB638E8A1ECD2DBF"/>
          </w:pPr>
          <w:r w:rsidRPr="00160344">
            <w:rPr>
              <w:rStyle w:val="PlaceholderText"/>
              <w:color w:val="auto"/>
              <w:u w:val="single"/>
            </w:rPr>
            <w:t>Main 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074E01"/>
    <w:rsid w:val="00134A2D"/>
    <w:rsid w:val="001703F7"/>
    <w:rsid w:val="00194847"/>
    <w:rsid w:val="001D4D96"/>
    <w:rsid w:val="003009AF"/>
    <w:rsid w:val="003D5719"/>
    <w:rsid w:val="004A5D97"/>
    <w:rsid w:val="004B6C95"/>
    <w:rsid w:val="005025F8"/>
    <w:rsid w:val="00623571"/>
    <w:rsid w:val="0063797C"/>
    <w:rsid w:val="00643821"/>
    <w:rsid w:val="00802444"/>
    <w:rsid w:val="00943A37"/>
    <w:rsid w:val="009F0831"/>
    <w:rsid w:val="00A74B27"/>
    <w:rsid w:val="00AD0A82"/>
    <w:rsid w:val="00AD6A82"/>
    <w:rsid w:val="00B01474"/>
    <w:rsid w:val="00B923F8"/>
    <w:rsid w:val="00BE4BB7"/>
    <w:rsid w:val="00C458B7"/>
    <w:rsid w:val="00CC085D"/>
    <w:rsid w:val="00CF1D98"/>
    <w:rsid w:val="00DB04D1"/>
    <w:rsid w:val="00E60656"/>
    <w:rsid w:val="00FB16D6"/>
    <w:rsid w:val="00FC3AEB"/>
    <w:rsid w:val="00FF77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6C95"/>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6AE10E372E854FF1A6AA578A93AA68CB">
    <w:name w:val="6AE10E372E854FF1A6AA578A93AA68CB"/>
    <w:rsid w:val="004B6C95"/>
    <w:rPr>
      <w:lang w:val="en-US" w:eastAsia="en-US"/>
    </w:rPr>
  </w:style>
  <w:style w:type="paragraph" w:customStyle="1" w:styleId="F21F416D9134486DAB638E8A1ECD2DBF">
    <w:name w:val="F21F416D9134486DAB638E8A1ECD2DBF"/>
    <w:rsid w:val="004B6C95"/>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7" ma:contentTypeDescription="Create a new document." ma:contentTypeScope="" ma:versionID="320f9be5622f2c3bbae300052da4358e">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c9c78a53216fb7b5b604c44046959057"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b:Source>
    <b:Tag>Kue22</b:Tag>
    <b:SourceType>JournalArticle</b:SourceType>
    <b:Guid>{107A0CCC-BB1F-4965-B85E-A376F240806C}</b:Guid>
    <b:Author>
      <b:Author>
        <b:NameList>
          <b:Person>
            <b:Last>Kuehl</b:Last>
          </b:Person>
        </b:NameList>
      </b:Author>
    </b:Author>
    <b:Title>Title</b:Title>
    <b:JournalName>DDL</b:JournalName>
    <b:Year>2022</b:Year>
    <b:RefOrder>1</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2.xml><?xml version="1.0" encoding="utf-8"?>
<ds:datastoreItem xmlns:ds="http://schemas.openxmlformats.org/officeDocument/2006/customXml" ds:itemID="{A7FFD24A-BFE6-456D-9C14-29C397209F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78038-89ac-4195-83e1-1279128b6e0c"/>
    <ds:schemaRef ds:uri="00022fe9-26d9-4c31-8678-3a6eabb28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407010-30FF-48CF-9606-16DDEBFB26CC}">
  <ds:schemaRefs>
    <ds:schemaRef ds:uri="http://schemas.openxmlformats.org/officeDocument/2006/bibliography"/>
  </ds:schemaRefs>
</ds:datastoreItem>
</file>

<file path=customXml/itemProps4.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00022fe9-26d9-4c31-8678-3a6eabb28834"/>
    <ds:schemaRef ds:uri="64c78038-89ac-4195-83e1-1279128b6e0c"/>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1704</Words>
  <Characters>9714</Characters>
  <Application>Microsoft Office Word</Application>
  <DocSecurity>0</DocSecurity>
  <Lines>80</Lines>
  <Paragraphs>22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Drug Delivery to the Lungs 20</vt:lpstr>
      <vt:lpstr>Drug Delivery to the Lungs 20</vt:lpstr>
    </vt:vector>
  </TitlesOfParts>
  <Company>3M</Company>
  <LinksUpToDate>false</LinksUpToDate>
  <CharactersWithSpaces>11396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Nikki Evans</cp:lastModifiedBy>
  <cp:revision>3</cp:revision>
  <cp:lastPrinted>2015-06-18T14:58:00Z</cp:lastPrinted>
  <dcterms:created xsi:type="dcterms:W3CDTF">2023-10-13T08:57:00Z</dcterms:created>
  <dcterms:modified xsi:type="dcterms:W3CDTF">2023-10-16T09:11:00Z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ies>
</file>