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547A7E83" w:rsidR="000E77D5" w:rsidRPr="00160344" w:rsidRDefault="00EF1F04" w:rsidP="00AD115D">
      <w:pPr>
        <w:pStyle w:val="DDLTitle"/>
      </w:pPr>
      <w:sdt>
        <w:sdtPr>
          <w:alias w:val="Title"/>
          <w:tag w:val="Title"/>
          <w:id w:val="-912845432"/>
          <w:lock w:val="sdtLocked"/>
          <w:placeholder>
            <w:docPart w:val="F93874C70D8C44D6B0BA71800E08656C"/>
          </w:placeholder>
        </w:sdtPr>
        <w:sdtEndPr/>
        <w:sdtContent>
          <w:r w:rsidR="00BB20AB">
            <w:t xml:space="preserve">Assessment of Aerosol </w:t>
          </w:r>
          <w:r w:rsidR="000C3302">
            <w:t>Characterisation</w:t>
          </w:r>
          <w:r w:rsidR="00BB20AB">
            <w:t xml:space="preserve"> and Delivery Performance of a Solution </w:t>
          </w:r>
          <w:r w:rsidR="00E53D9F">
            <w:t>Using</w:t>
          </w:r>
          <w:r w:rsidR="00BB20AB">
            <w:t xml:space="preserve"> Different Configurations of a Breath-Actuated Mesh Nebuli</w:t>
          </w:r>
          <w:r w:rsidR="000C3302">
            <w:t>s</w:t>
          </w:r>
          <w:r w:rsidR="00BB20AB">
            <w:t xml:space="preserve">er </w:t>
          </w:r>
        </w:sdtContent>
      </w:sdt>
      <w:bookmarkEnd w:id="0"/>
      <w:r w:rsidR="00881895">
        <w:t xml:space="preserve"> </w:t>
      </w:r>
    </w:p>
    <w:bookmarkStart w:id="1" w:name="Author"/>
    <w:p w14:paraId="57DCC0EC" w14:textId="4FBB80B0" w:rsidR="00C65A37" w:rsidRPr="00AD115D" w:rsidRDefault="00EF1F04"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BB20AB" w:rsidRPr="00BB20AB">
            <w:rPr>
              <w:u w:val="single"/>
            </w:rPr>
            <w:t>Edgar H</w:t>
          </w:r>
          <w:r w:rsidR="0076610D">
            <w:rPr>
              <w:u w:val="single"/>
            </w:rPr>
            <w:t xml:space="preserve">. </w:t>
          </w:r>
          <w:r w:rsidR="00BB20AB" w:rsidRPr="00BB20AB">
            <w:rPr>
              <w:u w:val="single"/>
            </w:rPr>
            <w:t>Cuevas Brun</w:t>
          </w:r>
        </w:sdtContent>
      </w:sdt>
      <w:bookmarkEnd w:id="1"/>
      <w:r w:rsidR="00676DA7" w:rsidRPr="00AD115D">
        <w:t xml:space="preserve">, </w:t>
      </w:r>
      <w:r w:rsidR="00BB20AB" w:rsidRPr="00FE75B6">
        <w:t>Ciou-Ting Wang, Yen-Ting Chen</w:t>
      </w:r>
      <w:r w:rsidR="00BB20AB">
        <w:t xml:space="preserve">, </w:t>
      </w:r>
      <w:r w:rsidR="00176B2E">
        <w:t xml:space="preserve">Chih-Tsen </w:t>
      </w:r>
      <w:r w:rsidR="00BB20AB">
        <w:t xml:space="preserve">Liu, </w:t>
      </w:r>
      <w:r w:rsidR="00176B2E">
        <w:t>Yu-Hsuan Lin</w:t>
      </w:r>
      <w:r w:rsidR="00BB20AB" w:rsidRPr="00FE75B6">
        <w:t xml:space="preserve"> </w:t>
      </w:r>
      <w:r w:rsidR="00BB20AB">
        <w:t xml:space="preserve">&amp; </w:t>
      </w:r>
      <w:r w:rsidR="00BB20AB" w:rsidRPr="00FE75B6">
        <w:t>Yuan-Ming Hsu</w:t>
      </w:r>
    </w:p>
    <w:p w14:paraId="57DCC0ED" w14:textId="7672D825" w:rsidR="00C65A37" w:rsidRPr="00BD68AD" w:rsidRDefault="00BB20AB" w:rsidP="00AD115D">
      <w:pPr>
        <w:pStyle w:val="DDLAddress1"/>
      </w:pPr>
      <w:r w:rsidRPr="00BB20AB">
        <w:t>HCmed Innovations Co. Ltd., Rm. B, 10F., No.319, Sec.2, Dunhua S. Rd., Taipei City, 10669, Taiwan</w:t>
      </w:r>
    </w:p>
    <w:p w14:paraId="57DCC0EF" w14:textId="77777777" w:rsidR="00C65A37" w:rsidRPr="00582113" w:rsidRDefault="00C65A37" w:rsidP="00D156FE">
      <w:pPr>
        <w:pStyle w:val="DDLHeading1"/>
        <w:rPr>
          <w:sz w:val="20"/>
          <w:szCs w:val="20"/>
        </w:rPr>
      </w:pPr>
      <w:r w:rsidRPr="00582113">
        <w:rPr>
          <w:sz w:val="20"/>
          <w:szCs w:val="20"/>
        </w:rPr>
        <w:t>Summary</w:t>
      </w:r>
    </w:p>
    <w:p w14:paraId="57DCC0F0" w14:textId="268638FA" w:rsidR="00966CD3" w:rsidRPr="00582113" w:rsidRDefault="00FD1E52" w:rsidP="00D156FE">
      <w:pPr>
        <w:pStyle w:val="DDLBodyText"/>
        <w:rPr>
          <w:sz w:val="20"/>
        </w:rPr>
      </w:pPr>
      <w:r>
        <w:rPr>
          <w:sz w:val="20"/>
        </w:rPr>
        <w:t xml:space="preserve">Delivery </w:t>
      </w:r>
      <w:r w:rsidR="00B835E2">
        <w:rPr>
          <w:sz w:val="20"/>
        </w:rPr>
        <w:t xml:space="preserve">performance </w:t>
      </w:r>
      <w:r>
        <w:rPr>
          <w:sz w:val="20"/>
        </w:rPr>
        <w:t xml:space="preserve">of a formulation using a mesh </w:t>
      </w:r>
      <w:r w:rsidR="000C3302">
        <w:rPr>
          <w:sz w:val="20"/>
        </w:rPr>
        <w:t>nebuliser</w:t>
      </w:r>
      <w:r>
        <w:rPr>
          <w:sz w:val="20"/>
        </w:rPr>
        <w:t xml:space="preserve"> </w:t>
      </w:r>
      <w:r w:rsidR="00B835E2">
        <w:rPr>
          <w:sz w:val="20"/>
        </w:rPr>
        <w:t>is</w:t>
      </w:r>
      <w:r>
        <w:rPr>
          <w:sz w:val="20"/>
        </w:rPr>
        <w:t xml:space="preserve"> dependent on the physical chemical properties of the liquid substance. Several factors such a viscosity and surface tension can influence the performance of a delivery system </w:t>
      </w:r>
      <w:r w:rsidR="00B835E2">
        <w:rPr>
          <w:sz w:val="20"/>
        </w:rPr>
        <w:t>affecting</w:t>
      </w:r>
      <w:r>
        <w:rPr>
          <w:sz w:val="20"/>
        </w:rPr>
        <w:t xml:space="preserve"> its effectiveness. Therefore, </w:t>
      </w:r>
      <w:r w:rsidR="00B835E2">
        <w:rPr>
          <w:sz w:val="20"/>
        </w:rPr>
        <w:t>counting with a set of</w:t>
      </w:r>
      <w:r>
        <w:rPr>
          <w:sz w:val="20"/>
        </w:rPr>
        <w:t xml:space="preserve"> </w:t>
      </w:r>
      <w:r w:rsidR="000C3302">
        <w:rPr>
          <w:sz w:val="20"/>
        </w:rPr>
        <w:t>customisation</w:t>
      </w:r>
      <w:r>
        <w:rPr>
          <w:sz w:val="20"/>
        </w:rPr>
        <w:t xml:space="preserve"> approaches within a </w:t>
      </w:r>
      <w:r w:rsidR="000C3302">
        <w:rPr>
          <w:sz w:val="20"/>
        </w:rPr>
        <w:t>nebuliser</w:t>
      </w:r>
      <w:r>
        <w:rPr>
          <w:sz w:val="20"/>
        </w:rPr>
        <w:t xml:space="preserve"> platform </w:t>
      </w:r>
      <w:r w:rsidR="00B835E2">
        <w:rPr>
          <w:sz w:val="20"/>
        </w:rPr>
        <w:t xml:space="preserve">can </w:t>
      </w:r>
      <w:r>
        <w:rPr>
          <w:sz w:val="20"/>
        </w:rPr>
        <w:t xml:space="preserve">allow to </w:t>
      </w:r>
      <w:r w:rsidR="00B835E2">
        <w:rPr>
          <w:sz w:val="20"/>
        </w:rPr>
        <w:t>explore and compute the</w:t>
      </w:r>
      <w:r>
        <w:rPr>
          <w:sz w:val="20"/>
        </w:rPr>
        <w:t xml:space="preserve"> outcome </w:t>
      </w:r>
      <w:r w:rsidR="00B835E2">
        <w:rPr>
          <w:sz w:val="20"/>
        </w:rPr>
        <w:t xml:space="preserve">for </w:t>
      </w:r>
      <w:r>
        <w:rPr>
          <w:sz w:val="20"/>
        </w:rPr>
        <w:t>parameters with different configurations</w:t>
      </w:r>
      <w:r w:rsidR="00B835E2">
        <w:rPr>
          <w:sz w:val="20"/>
        </w:rPr>
        <w:t xml:space="preserve">. These </w:t>
      </w:r>
      <w:r w:rsidR="000C3302">
        <w:rPr>
          <w:sz w:val="20"/>
        </w:rPr>
        <w:t>customisation</w:t>
      </w:r>
      <w:r w:rsidR="00B835E2">
        <w:rPr>
          <w:sz w:val="20"/>
        </w:rPr>
        <w:t xml:space="preserve"> approaches could extend no</w:t>
      </w:r>
      <w:r w:rsidR="00D63329">
        <w:rPr>
          <w:sz w:val="20"/>
        </w:rPr>
        <w:t>t</w:t>
      </w:r>
      <w:r w:rsidR="00B835E2">
        <w:rPr>
          <w:sz w:val="20"/>
        </w:rPr>
        <w:t xml:space="preserve"> only to hardware modifications, but also firmware changes </w:t>
      </w:r>
      <w:r w:rsidR="00D63329">
        <w:rPr>
          <w:sz w:val="20"/>
        </w:rPr>
        <w:t>within</w:t>
      </w:r>
      <w:r w:rsidR="00B835E2">
        <w:rPr>
          <w:sz w:val="20"/>
        </w:rPr>
        <w:t xml:space="preserve"> the algorithm</w:t>
      </w:r>
      <w:r>
        <w:rPr>
          <w:sz w:val="20"/>
        </w:rPr>
        <w:t xml:space="preserve"> </w:t>
      </w:r>
      <w:r w:rsidR="00D63329">
        <w:rPr>
          <w:sz w:val="20"/>
        </w:rPr>
        <w:t xml:space="preserve">of the </w:t>
      </w:r>
      <w:r w:rsidR="000C3302">
        <w:rPr>
          <w:sz w:val="20"/>
        </w:rPr>
        <w:t>nebuliser</w:t>
      </w:r>
      <w:r w:rsidR="00D63329">
        <w:rPr>
          <w:sz w:val="20"/>
        </w:rPr>
        <w:t xml:space="preserve">. The latter one being of particular significance for newer smart breath-actuated mesh </w:t>
      </w:r>
      <w:r w:rsidR="000C3302">
        <w:rPr>
          <w:sz w:val="20"/>
        </w:rPr>
        <w:t>nebuliser</w:t>
      </w:r>
      <w:r w:rsidR="00D63329">
        <w:rPr>
          <w:sz w:val="20"/>
        </w:rPr>
        <w:t>s that are equipped with novel functions</w:t>
      </w:r>
      <w:r>
        <w:rPr>
          <w:sz w:val="20"/>
        </w:rPr>
        <w:t>. In this study, a commonly nebuli</w:t>
      </w:r>
      <w:r w:rsidR="000C3302">
        <w:rPr>
          <w:sz w:val="20"/>
        </w:rPr>
        <w:t>s</w:t>
      </w:r>
      <w:r>
        <w:rPr>
          <w:sz w:val="20"/>
        </w:rPr>
        <w:t xml:space="preserve">ed bronchodilator </w:t>
      </w:r>
      <w:r w:rsidR="00E60A21">
        <w:rPr>
          <w:sz w:val="20"/>
        </w:rPr>
        <w:t xml:space="preserve">was </w:t>
      </w:r>
      <w:r>
        <w:rPr>
          <w:sz w:val="20"/>
        </w:rPr>
        <w:t xml:space="preserve">used to explore the delivery performance of the AdheResp </w:t>
      </w:r>
      <w:r w:rsidR="00D63329">
        <w:rPr>
          <w:sz w:val="20"/>
        </w:rPr>
        <w:t xml:space="preserve">smart </w:t>
      </w:r>
      <w:r>
        <w:rPr>
          <w:sz w:val="20"/>
        </w:rPr>
        <w:t xml:space="preserve">breath-actuated mesh </w:t>
      </w:r>
      <w:r w:rsidR="000C3302">
        <w:rPr>
          <w:sz w:val="20"/>
        </w:rPr>
        <w:t>nebuliser</w:t>
      </w:r>
      <w:r>
        <w:rPr>
          <w:sz w:val="20"/>
        </w:rPr>
        <w:t xml:space="preserve"> platform,</w:t>
      </w:r>
      <w:r w:rsidR="000A13F1">
        <w:rPr>
          <w:sz w:val="20"/>
        </w:rPr>
        <w:t xml:space="preserve"> focusing on a</w:t>
      </w:r>
      <w:r w:rsidR="00D63329">
        <w:rPr>
          <w:sz w:val="20"/>
        </w:rPr>
        <w:t xml:space="preserve"> two-stage study to demonstrate the influence of </w:t>
      </w:r>
      <w:r w:rsidR="000C3302">
        <w:rPr>
          <w:sz w:val="20"/>
        </w:rPr>
        <w:t>customisation</w:t>
      </w:r>
      <w:r w:rsidR="00D63329">
        <w:rPr>
          <w:sz w:val="20"/>
        </w:rPr>
        <w:t xml:space="preserve"> capabilities.</w:t>
      </w:r>
      <w:r w:rsidR="000A13F1">
        <w:rPr>
          <w:sz w:val="20"/>
        </w:rPr>
        <w:t xml:space="preserve"> </w:t>
      </w:r>
      <w:r w:rsidR="00D63329">
        <w:rPr>
          <w:sz w:val="20"/>
        </w:rPr>
        <w:t xml:space="preserve">The first </w:t>
      </w:r>
      <w:r w:rsidR="000A13F1">
        <w:rPr>
          <w:sz w:val="20"/>
        </w:rPr>
        <w:t xml:space="preserve">stage </w:t>
      </w:r>
      <w:r w:rsidR="00D63329">
        <w:rPr>
          <w:sz w:val="20"/>
        </w:rPr>
        <w:t xml:space="preserve">consisted of a hardware </w:t>
      </w:r>
      <w:r w:rsidR="00AB5B2F">
        <w:rPr>
          <w:sz w:val="20"/>
        </w:rPr>
        <w:t>adjustment</w:t>
      </w:r>
      <w:r w:rsidR="00D63329">
        <w:rPr>
          <w:sz w:val="20"/>
        </w:rPr>
        <w:t>, by</w:t>
      </w:r>
      <w:r w:rsidR="000A13F1">
        <w:rPr>
          <w:sz w:val="20"/>
        </w:rPr>
        <w:t xml:space="preserve"> testing </w:t>
      </w:r>
      <w:r w:rsidR="00D63329">
        <w:rPr>
          <w:sz w:val="20"/>
        </w:rPr>
        <w:t>a selection of</w:t>
      </w:r>
      <w:r w:rsidR="000A13F1">
        <w:rPr>
          <w:sz w:val="20"/>
        </w:rPr>
        <w:t xml:space="preserve"> </w:t>
      </w:r>
      <w:r w:rsidR="00AB5B2F">
        <w:rPr>
          <w:sz w:val="20"/>
        </w:rPr>
        <w:t xml:space="preserve">mesh </w:t>
      </w:r>
      <w:r w:rsidR="000A13F1">
        <w:rPr>
          <w:sz w:val="20"/>
        </w:rPr>
        <w:t>pore sizes</w:t>
      </w:r>
      <w:r w:rsidR="00AB5B2F">
        <w:rPr>
          <w:sz w:val="20"/>
        </w:rPr>
        <w:t xml:space="preserve"> and recording its impact on droplet size distribution</w:t>
      </w:r>
      <w:r w:rsidR="00D63329">
        <w:rPr>
          <w:sz w:val="20"/>
        </w:rPr>
        <w:t xml:space="preserve">. At the second stage, firmware modifications in triggering span during inhalation were also </w:t>
      </w:r>
      <w:r w:rsidR="00C36A7A">
        <w:rPr>
          <w:sz w:val="20"/>
        </w:rPr>
        <w:t>tested</w:t>
      </w:r>
      <w:r w:rsidR="00D63329">
        <w:rPr>
          <w:sz w:val="20"/>
        </w:rPr>
        <w:t xml:space="preserve"> to collect data on the delivery performance and </w:t>
      </w:r>
      <w:r w:rsidR="00C36A7A">
        <w:rPr>
          <w:sz w:val="20"/>
        </w:rPr>
        <w:t>implications for each configuration that generated information about the correlation between triggering span and treatment time, and its later influence on delivery rate through delivered dose assessment. Consequently, the overall scope of the study presents the benefits of an exploratory work at the development stage of a new drug-</w:t>
      </w:r>
      <w:r w:rsidR="000C3302">
        <w:rPr>
          <w:sz w:val="20"/>
        </w:rPr>
        <w:t>nebuliser</w:t>
      </w:r>
      <w:r w:rsidR="00C36A7A">
        <w:rPr>
          <w:sz w:val="20"/>
        </w:rPr>
        <w:t xml:space="preserve"> combination product, aiming to identify the most suitable pair for </w:t>
      </w:r>
      <w:r w:rsidR="00AB5B2F">
        <w:rPr>
          <w:sz w:val="20"/>
        </w:rPr>
        <w:t>the targeted delivery requirements.</w:t>
      </w:r>
    </w:p>
    <w:p w14:paraId="57DCC0F1" w14:textId="77777777" w:rsidR="00E14DBF" w:rsidRPr="00582113" w:rsidRDefault="00E14DBF" w:rsidP="00D156FE">
      <w:pPr>
        <w:pStyle w:val="DDLBodyText"/>
        <w:rPr>
          <w:b/>
          <w:sz w:val="20"/>
        </w:rPr>
      </w:pPr>
      <w:r w:rsidRPr="00582113">
        <w:rPr>
          <w:b/>
          <w:sz w:val="20"/>
        </w:rPr>
        <w:t>Key Message</w:t>
      </w:r>
    </w:p>
    <w:p w14:paraId="57DCC0F2" w14:textId="29497DB8" w:rsidR="00E14DBF" w:rsidRPr="00582113" w:rsidRDefault="000C3302" w:rsidP="00E14DBF">
      <w:pPr>
        <w:pStyle w:val="DDLBodyText"/>
        <w:rPr>
          <w:rStyle w:val="Strong"/>
          <w:rFonts w:cs="Arial"/>
          <w:b w:val="0"/>
          <w:color w:val="333333"/>
          <w:sz w:val="20"/>
          <w:shd w:val="clear" w:color="auto" w:fill="FFFFFF"/>
        </w:rPr>
      </w:pPr>
      <w:r>
        <w:rPr>
          <w:rStyle w:val="Strong"/>
          <w:rFonts w:cs="Arial"/>
          <w:b w:val="0"/>
          <w:sz w:val="20"/>
          <w:shd w:val="clear" w:color="auto" w:fill="FFFFFF"/>
        </w:rPr>
        <w:t>Customisation</w:t>
      </w:r>
      <w:r w:rsidR="0089071B">
        <w:rPr>
          <w:rStyle w:val="Strong"/>
          <w:rFonts w:cs="Arial"/>
          <w:b w:val="0"/>
          <w:sz w:val="20"/>
          <w:shd w:val="clear" w:color="auto" w:fill="FFFFFF"/>
        </w:rPr>
        <w:t xml:space="preserve"> of a breath-actuated mesh </w:t>
      </w:r>
      <w:r>
        <w:rPr>
          <w:rStyle w:val="Strong"/>
          <w:rFonts w:cs="Arial"/>
          <w:b w:val="0"/>
          <w:sz w:val="20"/>
          <w:shd w:val="clear" w:color="auto" w:fill="FFFFFF"/>
        </w:rPr>
        <w:t>nebuliser</w:t>
      </w:r>
      <w:r w:rsidR="0089071B">
        <w:rPr>
          <w:rStyle w:val="Strong"/>
          <w:rFonts w:cs="Arial"/>
          <w:b w:val="0"/>
          <w:sz w:val="20"/>
          <w:shd w:val="clear" w:color="auto" w:fill="FFFFFF"/>
        </w:rPr>
        <w:t xml:space="preserve"> at the hardware and firmware levels can greatly benefit the exploration and identification of a suitable drug-</w:t>
      </w:r>
      <w:r>
        <w:rPr>
          <w:rStyle w:val="Strong"/>
          <w:rFonts w:cs="Arial"/>
          <w:b w:val="0"/>
          <w:sz w:val="20"/>
          <w:shd w:val="clear" w:color="auto" w:fill="FFFFFF"/>
        </w:rPr>
        <w:t>nebuliser</w:t>
      </w:r>
      <w:r w:rsidR="0089071B">
        <w:rPr>
          <w:rStyle w:val="Strong"/>
          <w:rFonts w:cs="Arial"/>
          <w:b w:val="0"/>
          <w:sz w:val="20"/>
          <w:shd w:val="clear" w:color="auto" w:fill="FFFFFF"/>
        </w:rPr>
        <w:t xml:space="preserve"> system</w:t>
      </w:r>
      <w:r w:rsidR="00D63329">
        <w:rPr>
          <w:rStyle w:val="Strong"/>
          <w:rFonts w:cs="Arial"/>
          <w:b w:val="0"/>
          <w:sz w:val="20"/>
          <w:shd w:val="clear" w:color="auto" w:fill="FFFFFF"/>
        </w:rPr>
        <w:t>,</w:t>
      </w:r>
      <w:r w:rsidR="0089071B">
        <w:rPr>
          <w:rStyle w:val="Strong"/>
          <w:rFonts w:cs="Arial"/>
          <w:b w:val="0"/>
          <w:sz w:val="20"/>
          <w:shd w:val="clear" w:color="auto" w:fill="FFFFFF"/>
        </w:rPr>
        <w:t xml:space="preserve"> considering a formulation’s properties and the targeted performance.</w:t>
      </w:r>
    </w:p>
    <w:p w14:paraId="57DCC0F3" w14:textId="77777777" w:rsidR="00C65A37" w:rsidRPr="00582113" w:rsidRDefault="00C65A37" w:rsidP="00D156FE">
      <w:pPr>
        <w:pStyle w:val="DDLHeading1"/>
        <w:rPr>
          <w:sz w:val="20"/>
          <w:szCs w:val="20"/>
        </w:rPr>
      </w:pPr>
      <w:r w:rsidRPr="00582113">
        <w:rPr>
          <w:sz w:val="20"/>
          <w:szCs w:val="20"/>
        </w:rPr>
        <w:t>Introduction</w:t>
      </w:r>
    </w:p>
    <w:p w14:paraId="57DCC0F4" w14:textId="282462A7" w:rsidR="00966CD3" w:rsidRDefault="00E53D9F" w:rsidP="00D156FE">
      <w:pPr>
        <w:pStyle w:val="DDLBodyText"/>
        <w:rPr>
          <w:sz w:val="20"/>
        </w:rPr>
      </w:pPr>
      <w:r>
        <w:rPr>
          <w:sz w:val="20"/>
        </w:rPr>
        <w:t>Direct delivery of a drug substance to the site where the therapeutic effect is required has been reported to enhance efficacy with lower dos</w:t>
      </w:r>
      <w:r w:rsidR="00C76AD9">
        <w:rPr>
          <w:sz w:val="20"/>
        </w:rPr>
        <w:t>age requirements</w:t>
      </w:r>
      <w:r>
        <w:rPr>
          <w:sz w:val="20"/>
        </w:rPr>
        <w:t xml:space="preserve"> and reduce potential systemic si</w:t>
      </w:r>
      <w:r w:rsidR="00FD1E52">
        <w:rPr>
          <w:sz w:val="20"/>
        </w:rPr>
        <w:t>d</w:t>
      </w:r>
      <w:r>
        <w:rPr>
          <w:sz w:val="20"/>
        </w:rPr>
        <w:t>e effects</w:t>
      </w:r>
      <w:r w:rsidR="00C76AD9">
        <w:rPr>
          <w:sz w:val="20"/>
        </w:rPr>
        <w:t xml:space="preserve"> [1]</w:t>
      </w:r>
      <w:r>
        <w:rPr>
          <w:sz w:val="20"/>
        </w:rPr>
        <w:t xml:space="preserve">. When it comes to conditions affecting the respiratory system, the use of inhalers and </w:t>
      </w:r>
      <w:r w:rsidR="000C3302">
        <w:rPr>
          <w:sz w:val="20"/>
        </w:rPr>
        <w:t>nebuliser</w:t>
      </w:r>
      <w:r>
        <w:rPr>
          <w:sz w:val="20"/>
        </w:rPr>
        <w:t xml:space="preserve">s allow the prompt delivery of active pharmaceutical ingredients to </w:t>
      </w:r>
      <w:r w:rsidR="00C76AD9">
        <w:rPr>
          <w:sz w:val="20"/>
        </w:rPr>
        <w:t xml:space="preserve">the </w:t>
      </w:r>
      <w:r>
        <w:rPr>
          <w:sz w:val="20"/>
        </w:rPr>
        <w:t>respiratory airways reaching the lungs.</w:t>
      </w:r>
      <w:r w:rsidR="005F76FF">
        <w:rPr>
          <w:sz w:val="20"/>
        </w:rPr>
        <w:t xml:space="preserve"> However, </w:t>
      </w:r>
      <w:r w:rsidR="00C76AD9">
        <w:rPr>
          <w:sz w:val="20"/>
        </w:rPr>
        <w:t>due to the variety in properties of liquid formulations</w:t>
      </w:r>
      <w:r w:rsidR="005F76FF">
        <w:rPr>
          <w:sz w:val="20"/>
        </w:rPr>
        <w:t xml:space="preserve">, which </w:t>
      </w:r>
      <w:r w:rsidR="0089071B">
        <w:rPr>
          <w:sz w:val="20"/>
        </w:rPr>
        <w:t xml:space="preserve">may </w:t>
      </w:r>
      <w:r w:rsidR="005F76FF">
        <w:rPr>
          <w:sz w:val="20"/>
        </w:rPr>
        <w:t>include</w:t>
      </w:r>
      <w:r w:rsidR="00C76AD9">
        <w:rPr>
          <w:sz w:val="20"/>
        </w:rPr>
        <w:t xml:space="preserve"> solutions,</w:t>
      </w:r>
      <w:r w:rsidR="005F76FF">
        <w:rPr>
          <w:sz w:val="20"/>
        </w:rPr>
        <w:t xml:space="preserve"> liposomal </w:t>
      </w:r>
      <w:r w:rsidR="00C76AD9">
        <w:rPr>
          <w:sz w:val="20"/>
        </w:rPr>
        <w:t>suspensions</w:t>
      </w:r>
      <w:r w:rsidR="005F76FF">
        <w:rPr>
          <w:sz w:val="20"/>
        </w:rPr>
        <w:t xml:space="preserve"> and macromolecules, the appropriate aerosol characteri</w:t>
      </w:r>
      <w:r w:rsidR="000C3302">
        <w:rPr>
          <w:sz w:val="20"/>
        </w:rPr>
        <w:t>s</w:t>
      </w:r>
      <w:r w:rsidR="005F76FF">
        <w:rPr>
          <w:sz w:val="20"/>
        </w:rPr>
        <w:t xml:space="preserve">ation performance and delivery </w:t>
      </w:r>
      <w:r w:rsidR="00C76AD9">
        <w:rPr>
          <w:sz w:val="20"/>
        </w:rPr>
        <w:t>can be</w:t>
      </w:r>
      <w:r w:rsidR="005F76FF">
        <w:rPr>
          <w:sz w:val="20"/>
        </w:rPr>
        <w:t xml:space="preserve"> highly dependent on the drug-device interaction</w:t>
      </w:r>
      <w:r w:rsidR="00C76AD9">
        <w:rPr>
          <w:sz w:val="20"/>
        </w:rPr>
        <w:t xml:space="preserve"> [2]</w:t>
      </w:r>
      <w:r w:rsidR="005F76FF">
        <w:rPr>
          <w:sz w:val="20"/>
        </w:rPr>
        <w:t>.</w:t>
      </w:r>
    </w:p>
    <w:p w14:paraId="47B25161" w14:textId="63B5BBF7" w:rsidR="001401F1" w:rsidRDefault="005F76FF" w:rsidP="00D156FE">
      <w:pPr>
        <w:pStyle w:val="DDLBodyText"/>
        <w:rPr>
          <w:sz w:val="20"/>
        </w:rPr>
      </w:pPr>
      <w:r>
        <w:rPr>
          <w:sz w:val="20"/>
        </w:rPr>
        <w:t xml:space="preserve">Currently, mesh </w:t>
      </w:r>
      <w:r w:rsidR="000C3302">
        <w:rPr>
          <w:sz w:val="20"/>
        </w:rPr>
        <w:t>nebuliser</w:t>
      </w:r>
      <w:r>
        <w:rPr>
          <w:sz w:val="20"/>
        </w:rPr>
        <w:t xml:space="preserve">s are among the preferable devices to deliver new liquid formulations due to their lower shear forces and heat generation when compared to other </w:t>
      </w:r>
      <w:r w:rsidR="000C3302">
        <w:rPr>
          <w:sz w:val="20"/>
        </w:rPr>
        <w:t>nebuliser</w:t>
      </w:r>
      <w:r>
        <w:rPr>
          <w:sz w:val="20"/>
        </w:rPr>
        <w:t>s</w:t>
      </w:r>
      <w:r w:rsidR="00C76AD9">
        <w:rPr>
          <w:sz w:val="20"/>
        </w:rPr>
        <w:t xml:space="preserve"> [3]</w:t>
      </w:r>
      <w:r>
        <w:rPr>
          <w:sz w:val="20"/>
        </w:rPr>
        <w:t xml:space="preserve">. Nonetheless, formulations’ physicochemical properties, such as viscosity and surface tension, can </w:t>
      </w:r>
      <w:r w:rsidR="00C27C5D">
        <w:rPr>
          <w:sz w:val="20"/>
        </w:rPr>
        <w:t>considerably influence delivery performance</w:t>
      </w:r>
      <w:r w:rsidR="00C76AD9">
        <w:rPr>
          <w:sz w:val="20"/>
        </w:rPr>
        <w:t xml:space="preserve"> [4]</w:t>
      </w:r>
      <w:r w:rsidR="00C27C5D">
        <w:rPr>
          <w:sz w:val="20"/>
        </w:rPr>
        <w:t xml:space="preserve">. To </w:t>
      </w:r>
      <w:r w:rsidR="008143B9">
        <w:rPr>
          <w:sz w:val="20"/>
        </w:rPr>
        <w:t>resolve</w:t>
      </w:r>
      <w:r w:rsidR="00C27C5D">
        <w:rPr>
          <w:sz w:val="20"/>
        </w:rPr>
        <w:t xml:space="preserve"> this issue, </w:t>
      </w:r>
      <w:r w:rsidR="000C3302">
        <w:rPr>
          <w:sz w:val="20"/>
        </w:rPr>
        <w:t>customisation</w:t>
      </w:r>
      <w:r w:rsidR="008143B9">
        <w:rPr>
          <w:sz w:val="20"/>
        </w:rPr>
        <w:t xml:space="preserve"> of a delivery system to better fit the formulation’s properties along with the identification of fundamental delivery factors to effectively target performance requirements</w:t>
      </w:r>
      <w:r w:rsidR="00C76AD9">
        <w:rPr>
          <w:sz w:val="20"/>
        </w:rPr>
        <w:t xml:space="preserve"> is increasingly being considered in the development of new combination products</w:t>
      </w:r>
      <w:r w:rsidR="008143B9">
        <w:rPr>
          <w:sz w:val="20"/>
        </w:rPr>
        <w:t xml:space="preserve">. </w:t>
      </w:r>
    </w:p>
    <w:p w14:paraId="7FFB9BCD" w14:textId="08F93ACF" w:rsidR="005F76FF" w:rsidRDefault="009721F6" w:rsidP="00D156FE">
      <w:pPr>
        <w:pStyle w:val="DDLBodyText"/>
        <w:rPr>
          <w:sz w:val="20"/>
        </w:rPr>
      </w:pPr>
      <w:r>
        <w:rPr>
          <w:sz w:val="20"/>
        </w:rPr>
        <w:t xml:space="preserve">When it comes to </w:t>
      </w:r>
      <w:r w:rsidR="00C76AD9">
        <w:rPr>
          <w:sz w:val="20"/>
        </w:rPr>
        <w:t xml:space="preserve">mesh </w:t>
      </w:r>
      <w:r w:rsidR="000C3302">
        <w:rPr>
          <w:sz w:val="20"/>
        </w:rPr>
        <w:t>nebuliser</w:t>
      </w:r>
      <w:r w:rsidR="00C76AD9">
        <w:rPr>
          <w:sz w:val="20"/>
        </w:rPr>
        <w:t>s, the mesh membrane</w:t>
      </w:r>
      <w:r>
        <w:rPr>
          <w:sz w:val="20"/>
        </w:rPr>
        <w:t xml:space="preserve"> constitutes one of the key components of </w:t>
      </w:r>
      <w:r w:rsidR="00C76AD9">
        <w:rPr>
          <w:sz w:val="20"/>
        </w:rPr>
        <w:t>the delivery platform, hence</w:t>
      </w:r>
      <w:r>
        <w:rPr>
          <w:sz w:val="20"/>
        </w:rPr>
        <w:t xml:space="preserve"> modifications to its structure can lead to different performance</w:t>
      </w:r>
      <w:r w:rsidR="00640223">
        <w:rPr>
          <w:sz w:val="20"/>
        </w:rPr>
        <w:t xml:space="preserve"> outcomes, where pore size is </w:t>
      </w:r>
      <w:r w:rsidR="00C76AD9">
        <w:rPr>
          <w:sz w:val="20"/>
        </w:rPr>
        <w:t>commonly</w:t>
      </w:r>
      <w:r w:rsidR="00640223">
        <w:rPr>
          <w:sz w:val="20"/>
        </w:rPr>
        <w:t xml:space="preserve"> linked to the aerosol droplet size. Additionally, for breath-actuated </w:t>
      </w:r>
      <w:r w:rsidR="000C3302">
        <w:rPr>
          <w:sz w:val="20"/>
        </w:rPr>
        <w:t>nebuliser</w:t>
      </w:r>
      <w:r w:rsidR="00640223">
        <w:rPr>
          <w:sz w:val="20"/>
        </w:rPr>
        <w:t>s,</w:t>
      </w:r>
      <w:r w:rsidR="001401F1">
        <w:rPr>
          <w:sz w:val="20"/>
        </w:rPr>
        <w:t xml:space="preserve"> the aerosol</w:t>
      </w:r>
      <w:r w:rsidR="00640223">
        <w:rPr>
          <w:sz w:val="20"/>
        </w:rPr>
        <w:t xml:space="preserve"> </w:t>
      </w:r>
      <w:r w:rsidR="001401F1">
        <w:rPr>
          <w:sz w:val="20"/>
        </w:rPr>
        <w:t xml:space="preserve">triggering span during inhalation can be associated to the treatment time and delivery rate, making of it another </w:t>
      </w:r>
      <w:r w:rsidR="00C76AD9">
        <w:rPr>
          <w:sz w:val="20"/>
        </w:rPr>
        <w:t xml:space="preserve">fundamental </w:t>
      </w:r>
      <w:r w:rsidR="000C3302">
        <w:rPr>
          <w:sz w:val="20"/>
        </w:rPr>
        <w:t>customisable</w:t>
      </w:r>
      <w:r w:rsidR="001401F1">
        <w:rPr>
          <w:sz w:val="20"/>
        </w:rPr>
        <w:t xml:space="preserve"> element to adapt a delivery system to the formulations’ properties</w:t>
      </w:r>
      <w:r w:rsidR="00C76AD9">
        <w:rPr>
          <w:sz w:val="20"/>
        </w:rPr>
        <w:t xml:space="preserve"> and targeted requirements. The mentioned factors are among a series of potential </w:t>
      </w:r>
      <w:r w:rsidR="000C3302">
        <w:rPr>
          <w:sz w:val="20"/>
        </w:rPr>
        <w:t>customisation</w:t>
      </w:r>
      <w:r w:rsidR="00C76AD9">
        <w:rPr>
          <w:sz w:val="20"/>
        </w:rPr>
        <w:t>s that could allow an exploratory</w:t>
      </w:r>
      <w:r w:rsidR="00C5663F">
        <w:rPr>
          <w:sz w:val="20"/>
        </w:rPr>
        <w:t xml:space="preserve"> work to identify a desirable drug-device pairing.</w:t>
      </w:r>
      <w:r w:rsidR="00640223">
        <w:rPr>
          <w:sz w:val="20"/>
        </w:rPr>
        <w:t xml:space="preserve">  </w:t>
      </w:r>
    </w:p>
    <w:p w14:paraId="54F1AC75" w14:textId="7290D609" w:rsidR="008143B9" w:rsidRDefault="008143B9" w:rsidP="00D156FE">
      <w:pPr>
        <w:pStyle w:val="DDLBodyText"/>
        <w:rPr>
          <w:sz w:val="20"/>
        </w:rPr>
      </w:pPr>
      <w:r>
        <w:rPr>
          <w:sz w:val="20"/>
        </w:rPr>
        <w:t>In this study</w:t>
      </w:r>
      <w:r w:rsidR="001401F1">
        <w:rPr>
          <w:sz w:val="20"/>
        </w:rPr>
        <w:t>, a customi</w:t>
      </w:r>
      <w:r w:rsidR="000C3302">
        <w:rPr>
          <w:sz w:val="20"/>
        </w:rPr>
        <w:t>s</w:t>
      </w:r>
      <w:r w:rsidR="001401F1">
        <w:rPr>
          <w:sz w:val="20"/>
        </w:rPr>
        <w:t xml:space="preserve">able breath-actuated mesh </w:t>
      </w:r>
      <w:r w:rsidR="000C3302">
        <w:rPr>
          <w:sz w:val="20"/>
        </w:rPr>
        <w:t>nebuliser</w:t>
      </w:r>
      <w:r w:rsidR="001401F1">
        <w:rPr>
          <w:sz w:val="20"/>
        </w:rPr>
        <w:t xml:space="preserve"> platform was used to deliver</w:t>
      </w:r>
      <w:r w:rsidR="00C5663F">
        <w:rPr>
          <w:sz w:val="20"/>
        </w:rPr>
        <w:t xml:space="preserve"> </w:t>
      </w:r>
      <w:r w:rsidR="001401F1">
        <w:rPr>
          <w:sz w:val="20"/>
        </w:rPr>
        <w:t xml:space="preserve">a commonly </w:t>
      </w:r>
      <w:r w:rsidR="001168C8">
        <w:rPr>
          <w:sz w:val="20"/>
        </w:rPr>
        <w:t>prescribed</w:t>
      </w:r>
      <w:r w:rsidR="001401F1">
        <w:rPr>
          <w:sz w:val="20"/>
        </w:rPr>
        <w:t xml:space="preserve"> </w:t>
      </w:r>
      <w:r w:rsidR="00C541A2">
        <w:rPr>
          <w:sz w:val="20"/>
        </w:rPr>
        <w:t xml:space="preserve">bronchodilator in order </w:t>
      </w:r>
      <w:r w:rsidR="001168C8">
        <w:rPr>
          <w:sz w:val="20"/>
        </w:rPr>
        <w:t xml:space="preserve">to </w:t>
      </w:r>
      <w:r w:rsidR="00C541A2">
        <w:rPr>
          <w:sz w:val="20"/>
        </w:rPr>
        <w:t xml:space="preserve">assess </w:t>
      </w:r>
      <w:r w:rsidR="001168C8">
        <w:rPr>
          <w:sz w:val="20"/>
        </w:rPr>
        <w:t>drug-</w:t>
      </w:r>
      <w:r w:rsidR="000C3302">
        <w:rPr>
          <w:sz w:val="20"/>
        </w:rPr>
        <w:t>nebuliser</w:t>
      </w:r>
      <w:r w:rsidR="001168C8">
        <w:rPr>
          <w:sz w:val="20"/>
        </w:rPr>
        <w:t xml:space="preserve"> performance with </w:t>
      </w:r>
      <w:r w:rsidR="00C541A2">
        <w:rPr>
          <w:sz w:val="20"/>
        </w:rPr>
        <w:t>different device configurations</w:t>
      </w:r>
      <w:r w:rsidR="008F400F">
        <w:rPr>
          <w:sz w:val="20"/>
        </w:rPr>
        <w:t>, which included a selection of mesh pore sizes</w:t>
      </w:r>
      <w:r w:rsidR="00C541A2">
        <w:rPr>
          <w:sz w:val="20"/>
        </w:rPr>
        <w:t xml:space="preserve"> </w:t>
      </w:r>
      <w:r w:rsidR="008F400F">
        <w:rPr>
          <w:sz w:val="20"/>
        </w:rPr>
        <w:t xml:space="preserve">and activation key tags for triggering span </w:t>
      </w:r>
      <w:r w:rsidR="000A13F1">
        <w:rPr>
          <w:sz w:val="20"/>
        </w:rPr>
        <w:t xml:space="preserve">at two </w:t>
      </w:r>
      <w:r w:rsidR="00C5663F">
        <w:rPr>
          <w:sz w:val="20"/>
        </w:rPr>
        <w:t xml:space="preserve">testing </w:t>
      </w:r>
      <w:r w:rsidR="000A13F1">
        <w:rPr>
          <w:sz w:val="20"/>
        </w:rPr>
        <w:t>stages</w:t>
      </w:r>
      <w:r w:rsidR="00C5663F">
        <w:rPr>
          <w:sz w:val="20"/>
        </w:rPr>
        <w:t>. The scope was set to</w:t>
      </w:r>
      <w:r w:rsidR="000A13F1">
        <w:rPr>
          <w:sz w:val="20"/>
        </w:rPr>
        <w:t xml:space="preserve"> </w:t>
      </w:r>
      <w:r w:rsidR="00C541A2">
        <w:rPr>
          <w:sz w:val="20"/>
        </w:rPr>
        <w:t>demonstrat</w:t>
      </w:r>
      <w:r w:rsidR="00C5663F">
        <w:rPr>
          <w:sz w:val="20"/>
        </w:rPr>
        <w:t>e</w:t>
      </w:r>
      <w:r w:rsidR="00C541A2">
        <w:rPr>
          <w:sz w:val="20"/>
        </w:rPr>
        <w:t xml:space="preserve"> the influence of</w:t>
      </w:r>
      <w:r w:rsidR="001168C8">
        <w:rPr>
          <w:sz w:val="20"/>
        </w:rPr>
        <w:t xml:space="preserve"> </w:t>
      </w:r>
      <w:r w:rsidR="00C5663F">
        <w:rPr>
          <w:sz w:val="20"/>
        </w:rPr>
        <w:t xml:space="preserve">a </w:t>
      </w:r>
      <w:r w:rsidR="001168C8">
        <w:rPr>
          <w:sz w:val="20"/>
        </w:rPr>
        <w:t xml:space="preserve">delivery system </w:t>
      </w:r>
      <w:r w:rsidR="000C3302">
        <w:rPr>
          <w:sz w:val="20"/>
        </w:rPr>
        <w:t>customisation</w:t>
      </w:r>
      <w:r w:rsidR="001168C8">
        <w:rPr>
          <w:sz w:val="20"/>
        </w:rPr>
        <w:t xml:space="preserve"> </w:t>
      </w:r>
      <w:r w:rsidR="001168C8">
        <w:rPr>
          <w:sz w:val="20"/>
        </w:rPr>
        <w:lastRenderedPageBreak/>
        <w:t xml:space="preserve">in aerosol </w:t>
      </w:r>
      <w:r w:rsidR="000C3302">
        <w:rPr>
          <w:sz w:val="20"/>
        </w:rPr>
        <w:t>characterisation</w:t>
      </w:r>
      <w:r w:rsidR="001168C8">
        <w:rPr>
          <w:sz w:val="20"/>
        </w:rPr>
        <w:t xml:space="preserve"> </w:t>
      </w:r>
      <w:r w:rsidR="00C5663F">
        <w:rPr>
          <w:sz w:val="20"/>
        </w:rPr>
        <w:t xml:space="preserve">and delivery </w:t>
      </w:r>
      <w:r w:rsidR="001168C8">
        <w:rPr>
          <w:sz w:val="20"/>
        </w:rPr>
        <w:t xml:space="preserve">performance </w:t>
      </w:r>
      <w:r w:rsidR="00C5663F">
        <w:rPr>
          <w:sz w:val="20"/>
        </w:rPr>
        <w:t>to provide insights on the drug-</w:t>
      </w:r>
      <w:r w:rsidR="000C3302">
        <w:rPr>
          <w:sz w:val="20"/>
        </w:rPr>
        <w:t>nebuliser</w:t>
      </w:r>
      <w:r w:rsidR="00C5663F">
        <w:rPr>
          <w:sz w:val="20"/>
        </w:rPr>
        <w:t xml:space="preserve"> combination output</w:t>
      </w:r>
      <w:r w:rsidR="001168C8">
        <w:rPr>
          <w:sz w:val="20"/>
        </w:rPr>
        <w:t>.</w:t>
      </w:r>
    </w:p>
    <w:p w14:paraId="57DCC0F5" w14:textId="52797F0C" w:rsidR="00966CD3" w:rsidRPr="00582113" w:rsidRDefault="00CE0780" w:rsidP="00D156FE">
      <w:pPr>
        <w:pStyle w:val="DDLHeading1"/>
        <w:rPr>
          <w:sz w:val="20"/>
          <w:szCs w:val="20"/>
        </w:rPr>
      </w:pPr>
      <w:r w:rsidRPr="00CE0780">
        <w:rPr>
          <w:sz w:val="20"/>
          <w:szCs w:val="20"/>
        </w:rPr>
        <w:t>Experimental Method</w:t>
      </w:r>
    </w:p>
    <w:p w14:paraId="4FC1A2D8" w14:textId="05545EA5" w:rsidR="00506E67" w:rsidRDefault="00506E67" w:rsidP="00A0358B">
      <w:pPr>
        <w:pStyle w:val="DDLBodyText"/>
        <w:rPr>
          <w:sz w:val="20"/>
        </w:rPr>
      </w:pPr>
      <w:r w:rsidRPr="00506E67">
        <w:rPr>
          <w:sz w:val="20"/>
        </w:rPr>
        <w:t>A standard breath-actuated mesh nebuliser (AdheResp</w:t>
      </w:r>
      <w:r w:rsidRPr="00F51FCE">
        <w:rPr>
          <w:sz w:val="20"/>
          <w:vertAlign w:val="superscript"/>
        </w:rPr>
        <w:t>®</w:t>
      </w:r>
      <w:r w:rsidRPr="00506E67">
        <w:rPr>
          <w:sz w:val="20"/>
        </w:rPr>
        <w:t xml:space="preserve">, HCmed Innovations Co. Ltd., Taiwan) </w:t>
      </w:r>
      <w:r>
        <w:rPr>
          <w:sz w:val="20"/>
        </w:rPr>
        <w:t xml:space="preserve">was used </w:t>
      </w:r>
      <w:r w:rsidR="00C5663F">
        <w:rPr>
          <w:sz w:val="20"/>
        </w:rPr>
        <w:t xml:space="preserve">as the delivery system </w:t>
      </w:r>
      <w:r>
        <w:rPr>
          <w:sz w:val="20"/>
        </w:rPr>
        <w:t>in the study</w:t>
      </w:r>
      <w:r w:rsidR="00344919">
        <w:rPr>
          <w:sz w:val="20"/>
        </w:rPr>
        <w:t xml:space="preserve"> (Figure 1)</w:t>
      </w:r>
      <w:r>
        <w:rPr>
          <w:sz w:val="20"/>
        </w:rPr>
        <w:t xml:space="preserve">. In order to test different configurations within the standard platform, </w:t>
      </w:r>
      <w:r w:rsidR="007276D0">
        <w:rPr>
          <w:sz w:val="20"/>
        </w:rPr>
        <w:t>twelve</w:t>
      </w:r>
      <w:r>
        <w:rPr>
          <w:sz w:val="20"/>
        </w:rPr>
        <w:t xml:space="preserve"> main unit</w:t>
      </w:r>
      <w:r w:rsidR="007276D0">
        <w:rPr>
          <w:sz w:val="20"/>
        </w:rPr>
        <w:t>s</w:t>
      </w:r>
      <w:r>
        <w:rPr>
          <w:sz w:val="20"/>
        </w:rPr>
        <w:t xml:space="preserve"> </w:t>
      </w:r>
      <w:r w:rsidRPr="00506E67">
        <w:rPr>
          <w:sz w:val="20"/>
        </w:rPr>
        <w:t xml:space="preserve">with twelve medication reservoirs and three activation key tags were </w:t>
      </w:r>
      <w:r>
        <w:rPr>
          <w:sz w:val="20"/>
        </w:rPr>
        <w:t>tested</w:t>
      </w:r>
      <w:r w:rsidR="00344919">
        <w:rPr>
          <w:sz w:val="20"/>
        </w:rPr>
        <w:t xml:space="preserve"> (Figure 2)</w:t>
      </w:r>
      <w:r>
        <w:rPr>
          <w:sz w:val="20"/>
        </w:rPr>
        <w:t>.</w:t>
      </w:r>
      <w:r w:rsidRPr="00506E67">
        <w:rPr>
          <w:sz w:val="20"/>
        </w:rPr>
        <w:t xml:space="preserve"> The medication reservoirs were identified by pore size in three groups, 3.7µm, 3.9µm, and 4.1µm, with four reservoirs in each group. </w:t>
      </w:r>
      <w:r>
        <w:rPr>
          <w:sz w:val="20"/>
        </w:rPr>
        <w:t xml:space="preserve">Moreover, </w:t>
      </w:r>
      <w:r w:rsidR="004334D1">
        <w:rPr>
          <w:sz w:val="20"/>
        </w:rPr>
        <w:t xml:space="preserve">as the AdheResp platform operates with a lock-and-key activation function to start treatment, </w:t>
      </w:r>
      <w:r>
        <w:rPr>
          <w:sz w:val="20"/>
        </w:rPr>
        <w:t>each</w:t>
      </w:r>
      <w:r w:rsidRPr="00506E67">
        <w:rPr>
          <w:sz w:val="20"/>
        </w:rPr>
        <w:t xml:space="preserve"> activation key tag</w:t>
      </w:r>
      <w:r>
        <w:rPr>
          <w:sz w:val="20"/>
        </w:rPr>
        <w:t xml:space="preserve"> was configured with a different inhalation triggering span algorithm</w:t>
      </w:r>
      <w:r w:rsidR="006C3DE4">
        <w:rPr>
          <w:sz w:val="20"/>
        </w:rPr>
        <w:t xml:space="preserve">, </w:t>
      </w:r>
      <w:r w:rsidR="00C5663F">
        <w:rPr>
          <w:sz w:val="20"/>
        </w:rPr>
        <w:t xml:space="preserve">which included </w:t>
      </w:r>
      <w:r w:rsidR="006C3DE4">
        <w:rPr>
          <w:sz w:val="20"/>
        </w:rPr>
        <w:t>40%, 60%, and 80%</w:t>
      </w:r>
      <w:r>
        <w:rPr>
          <w:sz w:val="20"/>
        </w:rPr>
        <w:t>. The droplet size distribution test</w:t>
      </w:r>
      <w:r w:rsidR="00C5663F">
        <w:rPr>
          <w:sz w:val="20"/>
        </w:rPr>
        <w:t>s</w:t>
      </w:r>
      <w:r>
        <w:rPr>
          <w:sz w:val="20"/>
        </w:rPr>
        <w:t xml:space="preserve"> w</w:t>
      </w:r>
      <w:r w:rsidR="00C5663F">
        <w:rPr>
          <w:sz w:val="20"/>
        </w:rPr>
        <w:t>ere</w:t>
      </w:r>
      <w:r>
        <w:rPr>
          <w:sz w:val="20"/>
        </w:rPr>
        <w:t xml:space="preserve"> performed loading 0.5mL o</w:t>
      </w:r>
      <w:r w:rsidR="007276D0">
        <w:rPr>
          <w:sz w:val="20"/>
        </w:rPr>
        <w:t xml:space="preserve">f </w:t>
      </w:r>
      <w:r w:rsidR="007276D0" w:rsidRPr="001F441A">
        <w:rPr>
          <w:sz w:val="20"/>
        </w:rPr>
        <w:t>albuterol 0.1% (M/V) concentration in 0.9% sodium chloride solution</w:t>
      </w:r>
      <w:r>
        <w:rPr>
          <w:sz w:val="20"/>
        </w:rPr>
        <w:t xml:space="preserve">, while the delivered dose and treatment time </w:t>
      </w:r>
      <w:r w:rsidR="00C5663F">
        <w:rPr>
          <w:sz w:val="20"/>
        </w:rPr>
        <w:t xml:space="preserve">studies </w:t>
      </w:r>
      <w:r>
        <w:rPr>
          <w:sz w:val="20"/>
        </w:rPr>
        <w:t xml:space="preserve">were assessed loading 2mL of </w:t>
      </w:r>
      <w:r w:rsidR="00B63C3C">
        <w:rPr>
          <w:sz w:val="20"/>
        </w:rPr>
        <w:t>the same solution</w:t>
      </w:r>
      <w:r w:rsidR="001103CE">
        <w:rPr>
          <w:sz w:val="20"/>
        </w:rPr>
        <w:t xml:space="preserve">, </w:t>
      </w:r>
      <w:r w:rsidR="001103CE" w:rsidRPr="00723E44">
        <w:rPr>
          <w:sz w:val="20"/>
        </w:rPr>
        <w:t>which corresponds to an albuterol loaded dose of 2mg</w:t>
      </w:r>
      <w:r w:rsidR="001F441A" w:rsidRPr="00723E44">
        <w:rPr>
          <w:sz w:val="20"/>
        </w:rPr>
        <w:t>.</w:t>
      </w:r>
    </w:p>
    <w:p w14:paraId="30B4E421" w14:textId="40D15E7A" w:rsidR="00506E67" w:rsidRDefault="00C5663F" w:rsidP="00A0358B">
      <w:pPr>
        <w:pStyle w:val="DDLBodyText"/>
        <w:rPr>
          <w:sz w:val="20"/>
        </w:rPr>
      </w:pPr>
      <w:r>
        <w:rPr>
          <w:sz w:val="20"/>
        </w:rPr>
        <w:t xml:space="preserve">A two-stage </w:t>
      </w:r>
      <w:r w:rsidR="000129C3">
        <w:rPr>
          <w:sz w:val="20"/>
        </w:rPr>
        <w:t>study</w:t>
      </w:r>
      <w:r>
        <w:rPr>
          <w:sz w:val="20"/>
        </w:rPr>
        <w:t xml:space="preserve"> was </w:t>
      </w:r>
      <w:r w:rsidR="000129C3">
        <w:rPr>
          <w:sz w:val="20"/>
        </w:rPr>
        <w:t>applied</w:t>
      </w:r>
      <w:r>
        <w:rPr>
          <w:sz w:val="20"/>
        </w:rPr>
        <w:t xml:space="preserve"> t</w:t>
      </w:r>
      <w:r w:rsidR="000129C3">
        <w:rPr>
          <w:sz w:val="20"/>
        </w:rPr>
        <w:t>o mimic an exploratory drug-</w:t>
      </w:r>
      <w:r w:rsidR="000C3302">
        <w:rPr>
          <w:sz w:val="20"/>
        </w:rPr>
        <w:t>nebuliser</w:t>
      </w:r>
      <w:r w:rsidR="000129C3">
        <w:rPr>
          <w:sz w:val="20"/>
        </w:rPr>
        <w:t xml:space="preserve"> feasibility study. </w:t>
      </w:r>
      <w:r w:rsidR="00191109">
        <w:rPr>
          <w:sz w:val="20"/>
        </w:rPr>
        <w:t>Droplet size distribution was conducted in the first stage of the study using a laser diffraction particle size analyser</w:t>
      </w:r>
      <w:r w:rsidR="00481A02">
        <w:rPr>
          <w:sz w:val="20"/>
        </w:rPr>
        <w:t xml:space="preserve"> </w:t>
      </w:r>
      <w:r w:rsidR="00481A02" w:rsidRPr="00481A02">
        <w:rPr>
          <w:sz w:val="20"/>
        </w:rPr>
        <w:t>(Spraytec; Malvern, UK)</w:t>
      </w:r>
      <w:r w:rsidR="000129C3">
        <w:rPr>
          <w:sz w:val="20"/>
        </w:rPr>
        <w:t xml:space="preserve">. The </w:t>
      </w:r>
      <w:r w:rsidR="000C3302">
        <w:rPr>
          <w:sz w:val="20"/>
        </w:rPr>
        <w:t>nebuliser</w:t>
      </w:r>
      <w:r w:rsidR="000129C3">
        <w:rPr>
          <w:sz w:val="20"/>
        </w:rPr>
        <w:t xml:space="preserve"> was</w:t>
      </w:r>
      <w:r w:rsidR="00F418A2">
        <w:rPr>
          <w:sz w:val="20"/>
        </w:rPr>
        <w:t xml:space="preserve"> </w:t>
      </w:r>
      <w:r w:rsidR="00191109">
        <w:rPr>
          <w:sz w:val="20"/>
        </w:rPr>
        <w:t>connected to a USP induction port, which was linked to an inhalation cell and pump</w:t>
      </w:r>
      <w:r w:rsidR="00481A02">
        <w:rPr>
          <w:sz w:val="20"/>
        </w:rPr>
        <w:t>,</w:t>
      </w:r>
      <w:r w:rsidR="00191109">
        <w:rPr>
          <w:sz w:val="20"/>
        </w:rPr>
        <w:t xml:space="preserve"> operating at a flow rate of 15L/min. Volumetric median diameter (DV50), fine particle fraction (FPF, &lt;5µm), and geometric standard deviation (GSD) were recorded</w:t>
      </w:r>
      <w:r w:rsidR="0007244F">
        <w:rPr>
          <w:sz w:val="20"/>
        </w:rPr>
        <w:t>,</w:t>
      </w:r>
      <w:r w:rsidR="00191109">
        <w:rPr>
          <w:sz w:val="20"/>
        </w:rPr>
        <w:t xml:space="preserve"> </w:t>
      </w:r>
      <w:r w:rsidR="0007244F">
        <w:rPr>
          <w:sz w:val="20"/>
        </w:rPr>
        <w:t>aerosoli</w:t>
      </w:r>
      <w:r w:rsidR="000C3302">
        <w:rPr>
          <w:sz w:val="20"/>
        </w:rPr>
        <w:t>s</w:t>
      </w:r>
      <w:r w:rsidR="0007244F">
        <w:rPr>
          <w:sz w:val="20"/>
        </w:rPr>
        <w:t>ing with</w:t>
      </w:r>
      <w:r w:rsidR="00DA14B2">
        <w:rPr>
          <w:sz w:val="20"/>
        </w:rPr>
        <w:t xml:space="preserve"> </w:t>
      </w:r>
      <w:r w:rsidR="000129C3">
        <w:rPr>
          <w:sz w:val="20"/>
        </w:rPr>
        <w:t>the</w:t>
      </w:r>
      <w:r w:rsidR="00DA14B2">
        <w:rPr>
          <w:sz w:val="20"/>
        </w:rPr>
        <w:t xml:space="preserve"> twelve reservoirs in triplicates.</w:t>
      </w:r>
      <w:r w:rsidR="00481A02">
        <w:rPr>
          <w:sz w:val="20"/>
        </w:rPr>
        <w:t xml:space="preserve"> Similarly, a breath simulator (</w:t>
      </w:r>
      <w:r w:rsidR="00481A02" w:rsidRPr="00481A02">
        <w:rPr>
          <w:sz w:val="20"/>
        </w:rPr>
        <w:t>BRS 200i, Copley Scientific, UK)</w:t>
      </w:r>
      <w:r w:rsidR="00481A02">
        <w:rPr>
          <w:sz w:val="20"/>
        </w:rPr>
        <w:t>, operating according to the</w:t>
      </w:r>
      <w:r w:rsidR="00481A02" w:rsidRPr="00481A02">
        <w:rPr>
          <w:sz w:val="20"/>
        </w:rPr>
        <w:t xml:space="preserve"> US Pharmacopoeia (USP) &lt;1601&gt; for the adult breathing pattern (volume: 500 mL; frequency: 15 cycles/min; waveform: sinusoidal; Inspiration/Expiration ratio = 1:1)</w:t>
      </w:r>
      <w:r w:rsidR="00481A02">
        <w:rPr>
          <w:sz w:val="20"/>
        </w:rPr>
        <w:t xml:space="preserve"> </w:t>
      </w:r>
      <w:r w:rsidR="00481A02" w:rsidRPr="00481A02">
        <w:rPr>
          <w:sz w:val="20"/>
        </w:rPr>
        <w:t xml:space="preserve">was </w:t>
      </w:r>
      <w:r w:rsidR="00481A02">
        <w:rPr>
          <w:sz w:val="20"/>
        </w:rPr>
        <w:t>used to assess the delivered dose, treatment time</w:t>
      </w:r>
      <w:r w:rsidR="00A47EAC">
        <w:rPr>
          <w:sz w:val="20"/>
        </w:rPr>
        <w:t>,</w:t>
      </w:r>
      <w:r w:rsidR="00481A02">
        <w:rPr>
          <w:sz w:val="20"/>
        </w:rPr>
        <w:t xml:space="preserve"> delivery rate</w:t>
      </w:r>
      <w:r w:rsidR="00A47EAC">
        <w:rPr>
          <w:sz w:val="20"/>
        </w:rPr>
        <w:t>, and respirable dose</w:t>
      </w:r>
      <w:r w:rsidR="00960163">
        <w:rPr>
          <w:sz w:val="20"/>
        </w:rPr>
        <w:t xml:space="preserve"> (&lt;5µm) </w:t>
      </w:r>
      <w:r w:rsidR="00481A02">
        <w:rPr>
          <w:sz w:val="20"/>
        </w:rPr>
        <w:t xml:space="preserve">of the </w:t>
      </w:r>
      <w:r w:rsidR="000129C3">
        <w:rPr>
          <w:sz w:val="20"/>
        </w:rPr>
        <w:t xml:space="preserve">same </w:t>
      </w:r>
      <w:r w:rsidR="00481A02">
        <w:rPr>
          <w:sz w:val="20"/>
        </w:rPr>
        <w:t xml:space="preserve">reservoirs in </w:t>
      </w:r>
      <w:r w:rsidR="000129C3">
        <w:rPr>
          <w:sz w:val="20"/>
        </w:rPr>
        <w:t>triplicates</w:t>
      </w:r>
      <w:r w:rsidR="00481A02">
        <w:rPr>
          <w:sz w:val="20"/>
        </w:rPr>
        <w:t>.</w:t>
      </w:r>
      <w:r w:rsidR="00A50E3F">
        <w:rPr>
          <w:sz w:val="20"/>
        </w:rPr>
        <w:t xml:space="preserve"> </w:t>
      </w:r>
      <w:r w:rsidR="0007244F">
        <w:rPr>
          <w:sz w:val="20"/>
        </w:rPr>
        <w:t xml:space="preserve">Quantification of albuterol was </w:t>
      </w:r>
      <w:r w:rsidR="000129C3">
        <w:rPr>
          <w:sz w:val="20"/>
        </w:rPr>
        <w:t>evaluated with</w:t>
      </w:r>
      <w:r w:rsidR="0007244F">
        <w:rPr>
          <w:sz w:val="20"/>
        </w:rPr>
        <w:t xml:space="preserve"> </w:t>
      </w:r>
      <w:r w:rsidR="0007244F" w:rsidRPr="0007244F">
        <w:rPr>
          <w:sz w:val="20"/>
        </w:rPr>
        <w:t>a ultraviolent-visible (UV-Vis) spectrophotometer (Lambda 365, Perkin Elmer, US) at wavelength 276 mm</w:t>
      </w:r>
      <w:r w:rsidR="0007244F">
        <w:rPr>
          <w:sz w:val="20"/>
        </w:rPr>
        <w:t>.</w:t>
      </w:r>
      <w:r w:rsidR="006C3DE4">
        <w:rPr>
          <w:sz w:val="20"/>
        </w:rPr>
        <w:t xml:space="preserve"> </w:t>
      </w:r>
      <w:r w:rsidR="006C3DE4" w:rsidRPr="006C3DE4">
        <w:rPr>
          <w:sz w:val="20"/>
        </w:rPr>
        <w:t xml:space="preserve">Activation of the main unit </w:t>
      </w:r>
      <w:r w:rsidR="006C3DE4">
        <w:rPr>
          <w:sz w:val="20"/>
        </w:rPr>
        <w:t xml:space="preserve">during stage one </w:t>
      </w:r>
      <w:r w:rsidR="006C3DE4" w:rsidRPr="006C3DE4">
        <w:rPr>
          <w:sz w:val="20"/>
        </w:rPr>
        <w:t>was carried out with the 60%</w:t>
      </w:r>
      <w:r w:rsidR="004E3AC8">
        <w:rPr>
          <w:rFonts w:hint="eastAsia"/>
          <w:sz w:val="20"/>
          <w:lang w:eastAsia="zh-TW"/>
        </w:rPr>
        <w:t xml:space="preserve"> </w:t>
      </w:r>
      <w:r w:rsidR="008F400F">
        <w:rPr>
          <w:sz w:val="20"/>
        </w:rPr>
        <w:t xml:space="preserve">activation </w:t>
      </w:r>
      <w:r w:rsidR="006C3DE4" w:rsidRPr="006C3DE4">
        <w:rPr>
          <w:sz w:val="20"/>
        </w:rPr>
        <w:t>key tag</w:t>
      </w:r>
      <w:r w:rsidR="006C3DE4">
        <w:rPr>
          <w:sz w:val="20"/>
        </w:rPr>
        <w:t>.</w:t>
      </w:r>
    </w:p>
    <w:p w14:paraId="4F9260BE" w14:textId="00023F24" w:rsidR="00DA14B2" w:rsidRDefault="000129C3" w:rsidP="00A0358B">
      <w:pPr>
        <w:pStyle w:val="DDLBodyText"/>
        <w:rPr>
          <w:sz w:val="20"/>
        </w:rPr>
      </w:pPr>
      <w:r>
        <w:rPr>
          <w:sz w:val="20"/>
        </w:rPr>
        <w:t>For the second stage, t</w:t>
      </w:r>
      <w:r w:rsidR="00DA14B2">
        <w:rPr>
          <w:sz w:val="20"/>
        </w:rPr>
        <w:t xml:space="preserve">he mesh pore size </w:t>
      </w:r>
      <w:r w:rsidR="00481A02">
        <w:rPr>
          <w:sz w:val="20"/>
        </w:rPr>
        <w:t xml:space="preserve">group </w:t>
      </w:r>
      <w:r w:rsidR="00DA14B2">
        <w:rPr>
          <w:sz w:val="20"/>
        </w:rPr>
        <w:t xml:space="preserve">that generated the smallest DV50 was selected </w:t>
      </w:r>
      <w:r>
        <w:rPr>
          <w:sz w:val="20"/>
        </w:rPr>
        <w:t>arbitrarily, and</w:t>
      </w:r>
      <w:r w:rsidR="00481A02">
        <w:rPr>
          <w:sz w:val="20"/>
        </w:rPr>
        <w:t xml:space="preserve"> the </w:t>
      </w:r>
      <w:r w:rsidR="006C3DE4">
        <w:rPr>
          <w:sz w:val="20"/>
        </w:rPr>
        <w:t xml:space="preserve">three </w:t>
      </w:r>
      <w:r>
        <w:rPr>
          <w:sz w:val="20"/>
        </w:rPr>
        <w:t xml:space="preserve">activation </w:t>
      </w:r>
      <w:r w:rsidR="00481A02">
        <w:rPr>
          <w:sz w:val="20"/>
        </w:rPr>
        <w:t xml:space="preserve">key tags were used to assess delivered dose with the same </w:t>
      </w:r>
      <w:r w:rsidR="00E60A21">
        <w:rPr>
          <w:sz w:val="20"/>
        </w:rPr>
        <w:t>breath simulator</w:t>
      </w:r>
      <w:r w:rsidR="00A50E3F">
        <w:rPr>
          <w:sz w:val="20"/>
        </w:rPr>
        <w:t xml:space="preserve"> </w:t>
      </w:r>
      <w:r w:rsidR="00481A02">
        <w:rPr>
          <w:sz w:val="20"/>
        </w:rPr>
        <w:t>setup as in stage one.</w:t>
      </w:r>
      <w:r w:rsidR="000C5CD6">
        <w:rPr>
          <w:sz w:val="20"/>
        </w:rPr>
        <w:t xml:space="preserve"> Three replicates were performed for each of the four reservoirs</w:t>
      </w:r>
      <w:r w:rsidR="008F400F">
        <w:rPr>
          <w:sz w:val="20"/>
        </w:rPr>
        <w:t xml:space="preserve"> to deliver albuterol</w:t>
      </w:r>
      <w:r w:rsidR="000C5CD6">
        <w:rPr>
          <w:sz w:val="20"/>
        </w:rPr>
        <w:t>.</w:t>
      </w:r>
    </w:p>
    <w:p w14:paraId="09D68378" w14:textId="5D57CD37" w:rsidR="00344919" w:rsidRDefault="00344919" w:rsidP="00A0358B">
      <w:pPr>
        <w:pStyle w:val="DDLBodyText"/>
        <w:rPr>
          <w:b/>
          <w:bCs/>
          <w:szCs w:val="18"/>
        </w:rPr>
      </w:pPr>
      <w:r>
        <w:rPr>
          <w:b/>
          <w:bCs/>
          <w:noProof/>
          <w:szCs w:val="18"/>
        </w:rPr>
        <w:drawing>
          <wp:inline distT="0" distB="0" distL="0" distR="0" wp14:anchorId="0C689F82" wp14:editId="1A425FBF">
            <wp:extent cx="1843564" cy="1746892"/>
            <wp:effectExtent l="12700" t="12700" r="17145" b="17145"/>
            <wp:docPr id="3" name="Picture 3" descr="A white device with blue button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device with blue buttons&#10;&#10;Description automatically generated with low confidence"/>
                    <pic:cNvPicPr/>
                  </pic:nvPicPr>
                  <pic:blipFill rotWithShape="1">
                    <a:blip r:embed="rId11" cstate="print">
                      <a:extLst>
                        <a:ext uri="{28A0092B-C50C-407E-A947-70E740481C1C}">
                          <a14:useLocalDpi xmlns:a14="http://schemas.microsoft.com/office/drawing/2010/main" val="0"/>
                        </a:ext>
                      </a:extLst>
                    </a:blip>
                    <a:srcRect l="16242" r="13460"/>
                    <a:stretch/>
                  </pic:blipFill>
                  <pic:spPr bwMode="auto">
                    <a:xfrm>
                      <a:off x="0" y="0"/>
                      <a:ext cx="1843564" cy="174689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34D4BFE" w14:textId="71388447" w:rsidR="00344919" w:rsidRDefault="0020662D" w:rsidP="00A0358B">
      <w:pPr>
        <w:pStyle w:val="DDLBodyText"/>
        <w:rPr>
          <w:b/>
          <w:bCs/>
          <w:szCs w:val="18"/>
        </w:rPr>
      </w:pPr>
      <w:r>
        <w:rPr>
          <w:b/>
          <w:bCs/>
          <w:szCs w:val="18"/>
        </w:rPr>
        <w:t>Figure 1</w:t>
      </w:r>
      <w:r w:rsidRPr="0020662D">
        <w:rPr>
          <w:b/>
          <w:bCs/>
          <w:szCs w:val="18"/>
        </w:rPr>
        <w:t xml:space="preserve"> </w:t>
      </w:r>
      <w:r w:rsidR="00344919">
        <w:rPr>
          <w:b/>
          <w:bCs/>
          <w:szCs w:val="18"/>
        </w:rPr>
        <w:t>-</w:t>
      </w:r>
      <w:r>
        <w:rPr>
          <w:b/>
          <w:bCs/>
          <w:szCs w:val="18"/>
        </w:rPr>
        <w:t xml:space="preserve"> AdheResp Smart Breath-actuated Mesh Nebulizer</w:t>
      </w:r>
    </w:p>
    <w:p w14:paraId="33B96436" w14:textId="431D1AFB" w:rsidR="00344919" w:rsidRDefault="00B63C3C" w:rsidP="00A0358B">
      <w:pPr>
        <w:pStyle w:val="DDLBodyText"/>
        <w:rPr>
          <w:b/>
          <w:bCs/>
          <w:szCs w:val="18"/>
        </w:rPr>
      </w:pPr>
      <w:r>
        <w:rPr>
          <w:b/>
          <w:bCs/>
          <w:noProof/>
          <w:szCs w:val="18"/>
        </w:rPr>
        <w:drawing>
          <wp:inline distT="0" distB="0" distL="0" distR="0" wp14:anchorId="30673D16" wp14:editId="12B08DF3">
            <wp:extent cx="4392808" cy="1759424"/>
            <wp:effectExtent l="12700" t="12700" r="14605" b="19050"/>
            <wp:docPr id="4" name="Picture 4" descr="A picture containing tex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fon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92808" cy="1759424"/>
                    </a:xfrm>
                    <a:prstGeom prst="rect">
                      <a:avLst/>
                    </a:prstGeom>
                    <a:ln>
                      <a:solidFill>
                        <a:schemeClr val="tx1"/>
                      </a:solidFill>
                    </a:ln>
                  </pic:spPr>
                </pic:pic>
              </a:graphicData>
            </a:graphic>
          </wp:inline>
        </w:drawing>
      </w:r>
    </w:p>
    <w:p w14:paraId="715D0FE2" w14:textId="1E837201" w:rsidR="00344919" w:rsidRPr="0020662D" w:rsidRDefault="00344919" w:rsidP="00A0358B">
      <w:pPr>
        <w:pStyle w:val="DDLBodyText"/>
        <w:rPr>
          <w:b/>
          <w:bCs/>
          <w:szCs w:val="18"/>
        </w:rPr>
      </w:pPr>
      <w:r>
        <w:rPr>
          <w:b/>
          <w:bCs/>
          <w:szCs w:val="18"/>
        </w:rPr>
        <w:t>Figure 2 - AdheResp Nebulizer Components Used in the Study</w:t>
      </w:r>
    </w:p>
    <w:p w14:paraId="72B74D16" w14:textId="2D088960" w:rsidR="000C5CD6" w:rsidRPr="00582113" w:rsidRDefault="000C5CD6" w:rsidP="000C5CD6">
      <w:pPr>
        <w:pStyle w:val="DDLHeading1"/>
        <w:rPr>
          <w:sz w:val="20"/>
          <w:szCs w:val="20"/>
        </w:rPr>
      </w:pPr>
      <w:r>
        <w:rPr>
          <w:sz w:val="20"/>
          <w:szCs w:val="20"/>
        </w:rPr>
        <w:lastRenderedPageBreak/>
        <w:t>Results</w:t>
      </w:r>
    </w:p>
    <w:p w14:paraId="5EE49A1E" w14:textId="56D1862C" w:rsidR="000C5CD6" w:rsidRDefault="00571173" w:rsidP="000C5CD6">
      <w:pPr>
        <w:pStyle w:val="DDLBodyText"/>
        <w:rPr>
          <w:sz w:val="20"/>
        </w:rPr>
      </w:pPr>
      <w:r>
        <w:rPr>
          <w:sz w:val="20"/>
        </w:rPr>
        <w:t>In stage one, d</w:t>
      </w:r>
      <w:r w:rsidR="000C5CD6">
        <w:rPr>
          <w:sz w:val="20"/>
        </w:rPr>
        <w:t>roplet size distribution data for the three groups of AdheResp reservoirs is displayed in Table 1. DV50 range</w:t>
      </w:r>
      <w:r w:rsidR="004334D1">
        <w:rPr>
          <w:sz w:val="20"/>
        </w:rPr>
        <w:t>d</w:t>
      </w:r>
      <w:r w:rsidR="000C5CD6">
        <w:rPr>
          <w:sz w:val="20"/>
        </w:rPr>
        <w:t xml:space="preserve"> from 3.</w:t>
      </w:r>
      <w:r w:rsidR="0076610D">
        <w:rPr>
          <w:sz w:val="20"/>
        </w:rPr>
        <w:t>59</w:t>
      </w:r>
      <w:r w:rsidR="000C5CD6">
        <w:rPr>
          <w:sz w:val="20"/>
        </w:rPr>
        <w:t xml:space="preserve"> to 4.</w:t>
      </w:r>
      <w:r w:rsidR="0076610D">
        <w:rPr>
          <w:sz w:val="20"/>
        </w:rPr>
        <w:t>58</w:t>
      </w:r>
      <w:r w:rsidR="000C5CD6">
        <w:rPr>
          <w:sz w:val="20"/>
        </w:rPr>
        <w:t xml:space="preserve"> µm, showing increasing average particle size with increasing pore size</w:t>
      </w:r>
      <w:r w:rsidR="004334D1">
        <w:rPr>
          <w:sz w:val="20"/>
        </w:rPr>
        <w:t xml:space="preserve"> as expected</w:t>
      </w:r>
      <w:r w:rsidR="000C5CD6">
        <w:rPr>
          <w:sz w:val="20"/>
        </w:rPr>
        <w:t>.</w:t>
      </w:r>
      <w:r w:rsidR="006C3DE4">
        <w:rPr>
          <w:sz w:val="20"/>
        </w:rPr>
        <w:t xml:space="preserve"> FPF was inversely proportional to pore size, ranging from 5</w:t>
      </w:r>
      <w:r w:rsidR="0076610D">
        <w:rPr>
          <w:sz w:val="20"/>
        </w:rPr>
        <w:t>5.7</w:t>
      </w:r>
      <w:r w:rsidR="006C3DE4">
        <w:rPr>
          <w:sz w:val="20"/>
        </w:rPr>
        <w:t xml:space="preserve"> to 7</w:t>
      </w:r>
      <w:r w:rsidR="0076610D">
        <w:rPr>
          <w:sz w:val="20"/>
        </w:rPr>
        <w:t>0.9%</w:t>
      </w:r>
      <w:r w:rsidR="006C3DE4">
        <w:rPr>
          <w:sz w:val="20"/>
        </w:rPr>
        <w:t xml:space="preserve">, while the GSD </w:t>
      </w:r>
      <w:r w:rsidR="00172E6B">
        <w:rPr>
          <w:sz w:val="20"/>
        </w:rPr>
        <w:t>ranged from 1.70 to 1.82</w:t>
      </w:r>
      <w:r w:rsidR="006C3DE4">
        <w:rPr>
          <w:sz w:val="20"/>
        </w:rPr>
        <w:t xml:space="preserve">. </w:t>
      </w:r>
      <w:r w:rsidR="0076610D">
        <w:rPr>
          <w:sz w:val="20"/>
        </w:rPr>
        <w:t>The summari</w:t>
      </w:r>
      <w:r w:rsidR="000C3302">
        <w:rPr>
          <w:sz w:val="20"/>
        </w:rPr>
        <w:t>s</w:t>
      </w:r>
      <w:r w:rsidR="0076610D">
        <w:rPr>
          <w:sz w:val="20"/>
        </w:rPr>
        <w:t xml:space="preserve">ed data for the testing with the breath simulator is shown in Table 2. </w:t>
      </w:r>
      <w:r>
        <w:rPr>
          <w:sz w:val="20"/>
        </w:rPr>
        <w:t>The results present a</w:t>
      </w:r>
      <w:r w:rsidR="004334D1">
        <w:rPr>
          <w:sz w:val="20"/>
        </w:rPr>
        <w:t xml:space="preserve"> clear</w:t>
      </w:r>
      <w:r w:rsidR="002C28E7">
        <w:rPr>
          <w:sz w:val="20"/>
        </w:rPr>
        <w:t xml:space="preserve"> inverse </w:t>
      </w:r>
      <w:r>
        <w:rPr>
          <w:sz w:val="20"/>
        </w:rPr>
        <w:t>correlation between pore size</w:t>
      </w:r>
      <w:r w:rsidR="002C28E7">
        <w:rPr>
          <w:sz w:val="20"/>
        </w:rPr>
        <w:t xml:space="preserve"> </w:t>
      </w:r>
      <w:r w:rsidR="004E3AC8">
        <w:rPr>
          <w:sz w:val="20"/>
        </w:rPr>
        <w:t xml:space="preserve">and </w:t>
      </w:r>
      <w:r w:rsidR="002C28E7">
        <w:rPr>
          <w:sz w:val="20"/>
        </w:rPr>
        <w:t>treatment time</w:t>
      </w:r>
      <w:r>
        <w:rPr>
          <w:sz w:val="20"/>
        </w:rPr>
        <w:t>.</w:t>
      </w:r>
    </w:p>
    <w:p w14:paraId="338A1D7F" w14:textId="4CFF270F" w:rsidR="006C3DE4" w:rsidRPr="006C3DE4" w:rsidRDefault="006C3DE4" w:rsidP="006C3DE4">
      <w:pPr>
        <w:pStyle w:val="DDLCaption"/>
        <w:rPr>
          <w:sz w:val="18"/>
          <w:szCs w:val="18"/>
        </w:rPr>
      </w:pPr>
      <w:r>
        <w:rPr>
          <w:sz w:val="18"/>
          <w:szCs w:val="18"/>
        </w:rPr>
        <w:t>Table</w:t>
      </w:r>
      <w:r w:rsidRPr="005D1383">
        <w:rPr>
          <w:sz w:val="18"/>
          <w:szCs w:val="18"/>
        </w:rPr>
        <w:t xml:space="preserve"> </w:t>
      </w:r>
      <w:r>
        <w:rPr>
          <w:sz w:val="18"/>
          <w:szCs w:val="18"/>
        </w:rPr>
        <w:t>1</w:t>
      </w:r>
      <w:r w:rsidRPr="005D1383">
        <w:rPr>
          <w:sz w:val="18"/>
          <w:szCs w:val="18"/>
        </w:rPr>
        <w:t xml:space="preserve"> -</w:t>
      </w:r>
      <w:r w:rsidRPr="005D1383">
        <w:rPr>
          <w:sz w:val="18"/>
          <w:szCs w:val="18"/>
        </w:rPr>
        <w:tab/>
      </w:r>
      <w:r>
        <w:rPr>
          <w:sz w:val="18"/>
          <w:szCs w:val="18"/>
        </w:rPr>
        <w:t xml:space="preserve">Aerosol </w:t>
      </w:r>
      <w:r w:rsidR="000C3302">
        <w:rPr>
          <w:sz w:val="18"/>
          <w:szCs w:val="18"/>
        </w:rPr>
        <w:t>characterisation</w:t>
      </w:r>
      <w:r>
        <w:rPr>
          <w:sz w:val="18"/>
          <w:szCs w:val="18"/>
        </w:rPr>
        <w:t xml:space="preserve"> conducted with laser diffraction particle size analyser</w:t>
      </w:r>
      <w:r w:rsidR="00C84FBE">
        <w:rPr>
          <w:sz w:val="18"/>
          <w:szCs w:val="18"/>
        </w:rPr>
        <w:t>, nebuli</w:t>
      </w:r>
      <w:r w:rsidR="000C3302">
        <w:rPr>
          <w:sz w:val="18"/>
          <w:szCs w:val="18"/>
        </w:rPr>
        <w:t>s</w:t>
      </w:r>
      <w:r w:rsidR="00C84FBE">
        <w:rPr>
          <w:sz w:val="18"/>
          <w:szCs w:val="18"/>
        </w:rPr>
        <w:t>ing 0.</w:t>
      </w:r>
      <w:r w:rsidR="00B63C3C">
        <w:rPr>
          <w:sz w:val="18"/>
          <w:szCs w:val="18"/>
        </w:rPr>
        <w:t>1</w:t>
      </w:r>
      <w:r w:rsidR="00C84FBE">
        <w:rPr>
          <w:sz w:val="18"/>
          <w:szCs w:val="18"/>
        </w:rPr>
        <w:t xml:space="preserve">% </w:t>
      </w:r>
      <w:r w:rsidR="00B63C3C">
        <w:rPr>
          <w:sz w:val="18"/>
          <w:szCs w:val="18"/>
        </w:rPr>
        <w:t>albuterol</w:t>
      </w:r>
      <w:r>
        <w:rPr>
          <w:sz w:val="18"/>
          <w:szCs w:val="18"/>
        </w:rPr>
        <w:t xml:space="preserve"> </w:t>
      </w:r>
      <w:r w:rsidR="00F51FCE">
        <w:rPr>
          <w:sz w:val="18"/>
          <w:szCs w:val="18"/>
        </w:rPr>
        <w:t xml:space="preserve">with </w:t>
      </w:r>
      <w:r w:rsidR="004334D1">
        <w:rPr>
          <w:sz w:val="18"/>
          <w:szCs w:val="18"/>
        </w:rPr>
        <w:t xml:space="preserve"> the </w:t>
      </w:r>
      <w:r w:rsidR="00F51FCE">
        <w:rPr>
          <w:sz w:val="18"/>
          <w:szCs w:val="18"/>
        </w:rPr>
        <w:t>60% triggering span</w:t>
      </w:r>
      <w:r w:rsidR="004334D1">
        <w:rPr>
          <w:sz w:val="18"/>
          <w:szCs w:val="18"/>
        </w:rPr>
        <w:t xml:space="preserve"> activation key</w:t>
      </w:r>
      <w:r w:rsidR="00F51FCE">
        <w:rPr>
          <w:sz w:val="18"/>
          <w:szCs w:val="18"/>
        </w:rPr>
        <w:t xml:space="preserve"> </w:t>
      </w:r>
      <w:r>
        <w:rPr>
          <w:sz w:val="18"/>
          <w:szCs w:val="18"/>
        </w:rPr>
        <w:t>(n=</w:t>
      </w:r>
      <w:r w:rsidR="0076610D">
        <w:rPr>
          <w:sz w:val="18"/>
          <w:szCs w:val="18"/>
        </w:rPr>
        <w:t>4</w:t>
      </w:r>
      <w:r w:rsidR="00C84FBE">
        <w:rPr>
          <w:sz w:val="18"/>
          <w:szCs w:val="18"/>
        </w:rPr>
        <w:t>, triplicates</w:t>
      </w:r>
      <w:r>
        <w:rPr>
          <w:sz w:val="18"/>
          <w:szCs w:val="18"/>
        </w:rPr>
        <w:t>)</w:t>
      </w:r>
    </w:p>
    <w:tbl>
      <w:tblPr>
        <w:tblW w:w="8714" w:type="dxa"/>
        <w:jc w:val="center"/>
        <w:tblCellMar>
          <w:left w:w="0" w:type="dxa"/>
          <w:right w:w="0" w:type="dxa"/>
        </w:tblCellMar>
        <w:tblLook w:val="0600" w:firstRow="0" w:lastRow="0" w:firstColumn="0" w:lastColumn="0" w:noHBand="1" w:noVBand="1"/>
      </w:tblPr>
      <w:tblGrid>
        <w:gridCol w:w="1467"/>
        <w:gridCol w:w="1207"/>
        <w:gridCol w:w="1208"/>
        <w:gridCol w:w="1208"/>
        <w:gridCol w:w="1208"/>
        <w:gridCol w:w="1208"/>
        <w:gridCol w:w="1208"/>
      </w:tblGrid>
      <w:tr w:rsidR="0076610D" w:rsidRPr="00F51FCE" w14:paraId="731AC49F" w14:textId="77777777" w:rsidTr="002C28E7">
        <w:trPr>
          <w:trHeight w:val="227"/>
          <w:jc w:val="center"/>
        </w:trPr>
        <w:tc>
          <w:tcPr>
            <w:tcW w:w="1467" w:type="dxa"/>
            <w:vMerge w:val="restart"/>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center"/>
            <w:hideMark/>
          </w:tcPr>
          <w:p w14:paraId="475B1567" w14:textId="678B6AC0" w:rsidR="00F51FCE" w:rsidRPr="006C3DE4" w:rsidRDefault="0076610D" w:rsidP="00F51FCE">
            <w:pPr>
              <w:pStyle w:val="DDLBodyText"/>
              <w:snapToGrid w:val="0"/>
              <w:spacing w:after="0"/>
              <w:jc w:val="center"/>
              <w:rPr>
                <w:szCs w:val="18"/>
                <w:lang w:val="en-US"/>
              </w:rPr>
            </w:pPr>
            <w:r w:rsidRPr="00F51FCE">
              <w:rPr>
                <w:szCs w:val="18"/>
                <w:lang w:val="en-US"/>
              </w:rPr>
              <w:t>Pore Size</w:t>
            </w:r>
            <w:r w:rsidR="002C28E7" w:rsidRPr="00F51FCE">
              <w:rPr>
                <w:szCs w:val="18"/>
                <w:lang w:val="en-US"/>
              </w:rPr>
              <w:t xml:space="preserve"> </w:t>
            </w:r>
          </w:p>
          <w:p w14:paraId="10C99D37" w14:textId="27708724" w:rsidR="002C28E7" w:rsidRPr="006C3DE4" w:rsidRDefault="002C28E7" w:rsidP="006C3DE4">
            <w:pPr>
              <w:pStyle w:val="DDLBodyText"/>
              <w:snapToGrid w:val="0"/>
              <w:spacing w:after="0"/>
              <w:jc w:val="center"/>
              <w:rPr>
                <w:szCs w:val="18"/>
                <w:lang w:val="en-US"/>
              </w:rPr>
            </w:pPr>
          </w:p>
        </w:tc>
        <w:tc>
          <w:tcPr>
            <w:tcW w:w="241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A0F357" w14:textId="0C5582C2" w:rsidR="0076610D" w:rsidRPr="006C3DE4" w:rsidRDefault="0076610D" w:rsidP="006C3DE4">
            <w:pPr>
              <w:pStyle w:val="DDLBodyText"/>
              <w:snapToGrid w:val="0"/>
              <w:spacing w:after="0"/>
              <w:jc w:val="center"/>
              <w:rPr>
                <w:szCs w:val="18"/>
              </w:rPr>
            </w:pPr>
            <w:r w:rsidRPr="006C3DE4">
              <w:rPr>
                <w:szCs w:val="18"/>
                <w:lang w:val="en-US"/>
              </w:rPr>
              <w:t>DV50</w:t>
            </w:r>
            <w:r w:rsidRPr="00F51FCE">
              <w:rPr>
                <w:szCs w:val="18"/>
                <w:lang w:val="en-US"/>
              </w:rPr>
              <w:t xml:space="preserve"> (µm)</w:t>
            </w: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A41876" w14:textId="70581DD6" w:rsidR="0076610D" w:rsidRPr="006C3DE4" w:rsidRDefault="0076610D" w:rsidP="006C3DE4">
            <w:pPr>
              <w:pStyle w:val="DDLBodyText"/>
              <w:snapToGrid w:val="0"/>
              <w:spacing w:after="0"/>
              <w:jc w:val="center"/>
              <w:rPr>
                <w:szCs w:val="18"/>
              </w:rPr>
            </w:pPr>
            <w:r w:rsidRPr="006C3DE4">
              <w:rPr>
                <w:szCs w:val="18"/>
                <w:lang w:val="en-US"/>
              </w:rPr>
              <w:t>FPF</w:t>
            </w:r>
            <w:r w:rsidRPr="00F51FCE">
              <w:rPr>
                <w:szCs w:val="18"/>
                <w:lang w:val="en-US"/>
              </w:rPr>
              <w:t xml:space="preserve"> (%)</w:t>
            </w: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04B4820" w14:textId="77777777" w:rsidR="0076610D" w:rsidRPr="006C3DE4" w:rsidRDefault="0076610D" w:rsidP="006C3DE4">
            <w:pPr>
              <w:pStyle w:val="DDLBodyText"/>
              <w:snapToGrid w:val="0"/>
              <w:spacing w:after="0"/>
              <w:jc w:val="center"/>
              <w:rPr>
                <w:szCs w:val="18"/>
              </w:rPr>
            </w:pPr>
            <w:r w:rsidRPr="006C3DE4">
              <w:rPr>
                <w:szCs w:val="18"/>
                <w:lang w:val="en-US"/>
              </w:rPr>
              <w:t>GSD</w:t>
            </w:r>
          </w:p>
        </w:tc>
      </w:tr>
      <w:tr w:rsidR="0076610D" w:rsidRPr="00F51FCE" w14:paraId="0F1BC854" w14:textId="77777777" w:rsidTr="002C28E7">
        <w:trPr>
          <w:trHeight w:val="227"/>
          <w:jc w:val="center"/>
        </w:trPr>
        <w:tc>
          <w:tcPr>
            <w:tcW w:w="1467" w:type="dxa"/>
            <w:vMerge/>
            <w:tcBorders>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F5EF29" w14:textId="43DF89A7" w:rsidR="0076610D" w:rsidRPr="006C3DE4" w:rsidRDefault="0076610D" w:rsidP="006C3DE4">
            <w:pPr>
              <w:pStyle w:val="DDLBodyText"/>
              <w:snapToGrid w:val="0"/>
              <w:spacing w:after="0"/>
              <w:jc w:val="center"/>
              <w:rPr>
                <w:szCs w:val="18"/>
              </w:rPr>
            </w:pP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9E4EB35" w14:textId="77777777" w:rsidR="0076610D" w:rsidRPr="006C3DE4" w:rsidRDefault="0076610D" w:rsidP="006C3DE4">
            <w:pPr>
              <w:pStyle w:val="DDLBodyText"/>
              <w:snapToGrid w:val="0"/>
              <w:spacing w:after="0"/>
              <w:jc w:val="center"/>
              <w:rPr>
                <w:szCs w:val="18"/>
              </w:rPr>
            </w:pPr>
            <w:r w:rsidRPr="006C3DE4">
              <w:rPr>
                <w:szCs w:val="18"/>
                <w:lang w:val="en-US"/>
              </w:rPr>
              <w:t>Mean</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E203EFF" w14:textId="77777777" w:rsidR="0076610D" w:rsidRPr="006C3DE4" w:rsidRDefault="0076610D" w:rsidP="006C3DE4">
            <w:pPr>
              <w:pStyle w:val="DDLBodyText"/>
              <w:snapToGrid w:val="0"/>
              <w:spacing w:after="0"/>
              <w:jc w:val="center"/>
              <w:rPr>
                <w:szCs w:val="18"/>
              </w:rPr>
            </w:pPr>
            <w:r w:rsidRPr="006C3DE4">
              <w:rPr>
                <w:szCs w:val="18"/>
                <w:lang w:val="en-US"/>
              </w:rPr>
              <w:t>SD</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61DA84F" w14:textId="77777777" w:rsidR="0076610D" w:rsidRPr="006C3DE4" w:rsidRDefault="0076610D" w:rsidP="006C3DE4">
            <w:pPr>
              <w:pStyle w:val="DDLBodyText"/>
              <w:snapToGrid w:val="0"/>
              <w:spacing w:after="0"/>
              <w:jc w:val="center"/>
              <w:rPr>
                <w:szCs w:val="18"/>
              </w:rPr>
            </w:pPr>
            <w:r w:rsidRPr="006C3DE4">
              <w:rPr>
                <w:szCs w:val="18"/>
                <w:lang w:val="en-US"/>
              </w:rPr>
              <w:t>Mean</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CEB94A" w14:textId="77777777" w:rsidR="0076610D" w:rsidRPr="006C3DE4" w:rsidRDefault="0076610D" w:rsidP="006C3DE4">
            <w:pPr>
              <w:pStyle w:val="DDLBodyText"/>
              <w:snapToGrid w:val="0"/>
              <w:spacing w:after="0"/>
              <w:jc w:val="center"/>
              <w:rPr>
                <w:szCs w:val="18"/>
              </w:rPr>
            </w:pPr>
            <w:r w:rsidRPr="006C3DE4">
              <w:rPr>
                <w:szCs w:val="18"/>
                <w:lang w:val="en-US"/>
              </w:rPr>
              <w:t>SD</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A71684" w14:textId="77777777" w:rsidR="0076610D" w:rsidRPr="006C3DE4" w:rsidRDefault="0076610D" w:rsidP="006C3DE4">
            <w:pPr>
              <w:pStyle w:val="DDLBodyText"/>
              <w:snapToGrid w:val="0"/>
              <w:spacing w:after="0"/>
              <w:jc w:val="center"/>
              <w:rPr>
                <w:szCs w:val="18"/>
              </w:rPr>
            </w:pPr>
            <w:r w:rsidRPr="006C3DE4">
              <w:rPr>
                <w:szCs w:val="18"/>
                <w:lang w:val="en-US"/>
              </w:rPr>
              <w:t>Mean</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177622" w14:textId="77777777" w:rsidR="0076610D" w:rsidRPr="006C3DE4" w:rsidRDefault="0076610D" w:rsidP="006C3DE4">
            <w:pPr>
              <w:pStyle w:val="DDLBodyText"/>
              <w:snapToGrid w:val="0"/>
              <w:spacing w:after="0"/>
              <w:jc w:val="center"/>
              <w:rPr>
                <w:szCs w:val="18"/>
              </w:rPr>
            </w:pPr>
            <w:r w:rsidRPr="006C3DE4">
              <w:rPr>
                <w:szCs w:val="18"/>
                <w:lang w:val="en-US"/>
              </w:rPr>
              <w:t>SD</w:t>
            </w:r>
          </w:p>
        </w:tc>
      </w:tr>
      <w:tr w:rsidR="0076610D" w:rsidRPr="00F51FCE" w14:paraId="3820CA8B" w14:textId="77777777" w:rsidTr="002C28E7">
        <w:trPr>
          <w:trHeight w:val="227"/>
          <w:jc w:val="center"/>
        </w:trPr>
        <w:tc>
          <w:tcPr>
            <w:tcW w:w="14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E0E70D" w14:textId="1BD22E5F" w:rsidR="006C3DE4" w:rsidRPr="006C3DE4" w:rsidRDefault="006C3DE4" w:rsidP="006C3DE4">
            <w:pPr>
              <w:pStyle w:val="DDLBodyText"/>
              <w:snapToGrid w:val="0"/>
              <w:spacing w:after="0"/>
              <w:jc w:val="center"/>
              <w:rPr>
                <w:szCs w:val="18"/>
              </w:rPr>
            </w:pPr>
            <w:r w:rsidRPr="006C3DE4">
              <w:rPr>
                <w:szCs w:val="18"/>
                <w:lang w:val="en-US"/>
              </w:rPr>
              <w:t xml:space="preserve">3.7 </w:t>
            </w:r>
            <w:r w:rsidR="00571173" w:rsidRPr="00F51FCE">
              <w:rPr>
                <w:szCs w:val="18"/>
                <w:lang w:val="en-US"/>
              </w:rPr>
              <w:t>µ</w:t>
            </w:r>
            <w:r w:rsidRPr="006C3DE4">
              <w:rPr>
                <w:szCs w:val="18"/>
                <w:lang w:val="en-US"/>
              </w:rPr>
              <w:t>m</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0CC1D4" w14:textId="0785FE3D" w:rsidR="006C3DE4" w:rsidRPr="006C3DE4" w:rsidRDefault="006C3DE4" w:rsidP="006C3DE4">
            <w:pPr>
              <w:pStyle w:val="DDLBodyText"/>
              <w:snapToGrid w:val="0"/>
              <w:spacing w:after="0"/>
              <w:jc w:val="center"/>
              <w:rPr>
                <w:szCs w:val="18"/>
              </w:rPr>
            </w:pPr>
            <w:r w:rsidRPr="006C3DE4">
              <w:rPr>
                <w:szCs w:val="18"/>
                <w:lang w:val="en-US"/>
              </w:rPr>
              <w:t>3.83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674AF44" w14:textId="7B8F4902" w:rsidR="006C3DE4" w:rsidRPr="006C3DE4" w:rsidRDefault="006C3DE4" w:rsidP="006C3DE4">
            <w:pPr>
              <w:pStyle w:val="DDLBodyText"/>
              <w:snapToGrid w:val="0"/>
              <w:spacing w:after="0"/>
              <w:jc w:val="center"/>
              <w:rPr>
                <w:szCs w:val="18"/>
              </w:rPr>
            </w:pPr>
            <w:r w:rsidRPr="006C3DE4">
              <w:rPr>
                <w:szCs w:val="18"/>
                <w:lang w:val="en-US"/>
              </w:rPr>
              <w:t>0.1</w:t>
            </w:r>
            <w:r w:rsidR="00E9059D">
              <w:rPr>
                <w:szCs w:val="18"/>
                <w:lang w:val="en-US"/>
              </w:rPr>
              <w:t>6</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74A7F6" w14:textId="77777777" w:rsidR="006C3DE4" w:rsidRPr="006C3DE4" w:rsidRDefault="006C3DE4" w:rsidP="006C3DE4">
            <w:pPr>
              <w:pStyle w:val="DDLBodyText"/>
              <w:snapToGrid w:val="0"/>
              <w:spacing w:after="0"/>
              <w:jc w:val="center"/>
              <w:rPr>
                <w:szCs w:val="18"/>
              </w:rPr>
            </w:pPr>
            <w:r w:rsidRPr="006C3DE4">
              <w:rPr>
                <w:szCs w:val="18"/>
                <w:lang w:val="en-US"/>
              </w:rPr>
              <w:t>67.1</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5C3D32" w14:textId="0653A1EB" w:rsidR="006C3DE4" w:rsidRPr="006C3DE4" w:rsidRDefault="006C3DE4" w:rsidP="006C3DE4">
            <w:pPr>
              <w:pStyle w:val="DDLBodyText"/>
              <w:snapToGrid w:val="0"/>
              <w:spacing w:after="0"/>
              <w:jc w:val="center"/>
              <w:rPr>
                <w:szCs w:val="18"/>
              </w:rPr>
            </w:pPr>
            <w:r w:rsidRPr="006C3DE4">
              <w:rPr>
                <w:szCs w:val="18"/>
                <w:lang w:val="en-US"/>
              </w:rPr>
              <w:t>2.</w:t>
            </w:r>
            <w:r w:rsidRPr="00F51FCE">
              <w:rPr>
                <w:szCs w:val="18"/>
                <w:lang w:val="en-US"/>
              </w:rPr>
              <w:t>6</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8A45CCF" w14:textId="09BBC451" w:rsidR="006C3DE4" w:rsidRPr="006C3DE4" w:rsidRDefault="006C3DE4" w:rsidP="006C3DE4">
            <w:pPr>
              <w:pStyle w:val="DDLBodyText"/>
              <w:snapToGrid w:val="0"/>
              <w:spacing w:after="0"/>
              <w:jc w:val="center"/>
              <w:rPr>
                <w:szCs w:val="18"/>
              </w:rPr>
            </w:pPr>
            <w:r w:rsidRPr="006C3DE4">
              <w:rPr>
                <w:szCs w:val="18"/>
                <w:lang w:val="en-US"/>
              </w:rPr>
              <w:t>1.75</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897380" w14:textId="56FA53E5" w:rsidR="006C3DE4" w:rsidRPr="006C3DE4" w:rsidRDefault="006C3DE4" w:rsidP="006C3DE4">
            <w:pPr>
              <w:pStyle w:val="DDLBodyText"/>
              <w:snapToGrid w:val="0"/>
              <w:spacing w:after="0"/>
              <w:jc w:val="center"/>
              <w:rPr>
                <w:szCs w:val="18"/>
              </w:rPr>
            </w:pPr>
            <w:r w:rsidRPr="006C3DE4">
              <w:rPr>
                <w:szCs w:val="18"/>
                <w:lang w:val="en-US"/>
              </w:rPr>
              <w:t>0.0</w:t>
            </w:r>
            <w:r w:rsidRPr="00F51FCE">
              <w:rPr>
                <w:szCs w:val="18"/>
                <w:lang w:val="en-US"/>
              </w:rPr>
              <w:t>3</w:t>
            </w:r>
          </w:p>
        </w:tc>
      </w:tr>
      <w:tr w:rsidR="0076610D" w:rsidRPr="00F51FCE" w14:paraId="70A41F13" w14:textId="77777777" w:rsidTr="002C28E7">
        <w:trPr>
          <w:trHeight w:val="227"/>
          <w:jc w:val="center"/>
        </w:trPr>
        <w:tc>
          <w:tcPr>
            <w:tcW w:w="14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D07168D" w14:textId="4B9C739F" w:rsidR="006C3DE4" w:rsidRPr="006C3DE4" w:rsidRDefault="006C3DE4" w:rsidP="006C3DE4">
            <w:pPr>
              <w:pStyle w:val="DDLBodyText"/>
              <w:snapToGrid w:val="0"/>
              <w:spacing w:after="0"/>
              <w:jc w:val="center"/>
              <w:rPr>
                <w:szCs w:val="18"/>
              </w:rPr>
            </w:pPr>
            <w:r w:rsidRPr="006C3DE4">
              <w:rPr>
                <w:szCs w:val="18"/>
                <w:lang w:val="en-US"/>
              </w:rPr>
              <w:t xml:space="preserve">3.9 </w:t>
            </w:r>
            <w:r w:rsidR="00571173" w:rsidRPr="00F51FCE">
              <w:rPr>
                <w:szCs w:val="18"/>
                <w:lang w:val="en-US"/>
              </w:rPr>
              <w:t>µ</w:t>
            </w:r>
            <w:r w:rsidRPr="006C3DE4">
              <w:rPr>
                <w:szCs w:val="18"/>
                <w:lang w:val="en-US"/>
              </w:rPr>
              <w:t>m</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3F91A2D" w14:textId="3A77244E" w:rsidR="006C3DE4" w:rsidRPr="006C3DE4" w:rsidRDefault="006C3DE4" w:rsidP="006C3DE4">
            <w:pPr>
              <w:pStyle w:val="DDLBodyText"/>
              <w:snapToGrid w:val="0"/>
              <w:spacing w:after="0"/>
              <w:jc w:val="center"/>
              <w:rPr>
                <w:szCs w:val="18"/>
              </w:rPr>
            </w:pPr>
            <w:r w:rsidRPr="006C3DE4">
              <w:rPr>
                <w:szCs w:val="18"/>
                <w:lang w:val="en-US"/>
              </w:rPr>
              <w:t>4.27</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6E3353" w14:textId="368BAB94" w:rsidR="006C3DE4" w:rsidRPr="006C3DE4" w:rsidRDefault="006C3DE4" w:rsidP="006C3DE4">
            <w:pPr>
              <w:pStyle w:val="DDLBodyText"/>
              <w:snapToGrid w:val="0"/>
              <w:spacing w:after="0"/>
              <w:jc w:val="center"/>
              <w:rPr>
                <w:szCs w:val="18"/>
              </w:rPr>
            </w:pPr>
            <w:r w:rsidRPr="006C3DE4">
              <w:rPr>
                <w:szCs w:val="18"/>
                <w:lang w:val="en-US"/>
              </w:rPr>
              <w:t>0.2</w:t>
            </w:r>
            <w:r w:rsidRPr="00F51FCE">
              <w:rPr>
                <w:szCs w:val="18"/>
                <w:lang w:val="en-US"/>
              </w:rPr>
              <w:t>4</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B3BE1C" w14:textId="421EEB48" w:rsidR="006C3DE4" w:rsidRPr="006C3DE4" w:rsidRDefault="006C3DE4" w:rsidP="006C3DE4">
            <w:pPr>
              <w:pStyle w:val="DDLBodyText"/>
              <w:snapToGrid w:val="0"/>
              <w:spacing w:after="0"/>
              <w:jc w:val="center"/>
              <w:rPr>
                <w:szCs w:val="18"/>
              </w:rPr>
            </w:pPr>
            <w:r w:rsidRPr="006C3DE4">
              <w:rPr>
                <w:szCs w:val="18"/>
                <w:lang w:val="en-US"/>
              </w:rPr>
              <w:t>60.4</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6911289" w14:textId="242E63AE" w:rsidR="006C3DE4" w:rsidRPr="006C3DE4" w:rsidRDefault="006C3DE4" w:rsidP="006C3DE4">
            <w:pPr>
              <w:pStyle w:val="DDLBodyText"/>
              <w:snapToGrid w:val="0"/>
              <w:spacing w:after="0"/>
              <w:jc w:val="center"/>
              <w:rPr>
                <w:szCs w:val="18"/>
              </w:rPr>
            </w:pPr>
            <w:r w:rsidRPr="006C3DE4">
              <w:rPr>
                <w:szCs w:val="18"/>
                <w:lang w:val="en-US"/>
              </w:rPr>
              <w:t>3.</w:t>
            </w:r>
            <w:r w:rsidRPr="00F51FCE">
              <w:rPr>
                <w:szCs w:val="18"/>
                <w:lang w:val="en-US"/>
              </w:rPr>
              <w:t>6</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80EDDC" w14:textId="242BEA6F" w:rsidR="006C3DE4" w:rsidRPr="006C3DE4" w:rsidRDefault="006C3DE4" w:rsidP="006C3DE4">
            <w:pPr>
              <w:pStyle w:val="DDLBodyText"/>
              <w:snapToGrid w:val="0"/>
              <w:spacing w:after="0"/>
              <w:jc w:val="center"/>
              <w:rPr>
                <w:szCs w:val="18"/>
              </w:rPr>
            </w:pPr>
            <w:r w:rsidRPr="006C3DE4">
              <w:rPr>
                <w:szCs w:val="18"/>
                <w:lang w:val="en-US"/>
              </w:rPr>
              <w:t>1.7</w:t>
            </w:r>
            <w:r w:rsidR="005E622A">
              <w:rPr>
                <w:szCs w:val="18"/>
                <w:lang w:val="en-US"/>
              </w:rPr>
              <w:t>4</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31CD76" w14:textId="66761183" w:rsidR="006C3DE4" w:rsidRPr="006C3DE4" w:rsidRDefault="006C3DE4" w:rsidP="006C3DE4">
            <w:pPr>
              <w:pStyle w:val="DDLBodyText"/>
              <w:snapToGrid w:val="0"/>
              <w:spacing w:after="0"/>
              <w:jc w:val="center"/>
              <w:rPr>
                <w:szCs w:val="18"/>
              </w:rPr>
            </w:pPr>
            <w:r w:rsidRPr="006C3DE4">
              <w:rPr>
                <w:szCs w:val="18"/>
                <w:lang w:val="en-US"/>
              </w:rPr>
              <w:t>0.0</w:t>
            </w:r>
            <w:r w:rsidRPr="00F51FCE">
              <w:rPr>
                <w:szCs w:val="18"/>
                <w:lang w:val="en-US"/>
              </w:rPr>
              <w:t>3</w:t>
            </w:r>
          </w:p>
        </w:tc>
      </w:tr>
      <w:tr w:rsidR="0076610D" w:rsidRPr="00F51FCE" w14:paraId="3DF1DD15" w14:textId="77777777" w:rsidTr="002C28E7">
        <w:trPr>
          <w:trHeight w:val="227"/>
          <w:jc w:val="center"/>
        </w:trPr>
        <w:tc>
          <w:tcPr>
            <w:tcW w:w="14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3491BCE" w14:textId="165A98AE" w:rsidR="006C3DE4" w:rsidRPr="006C3DE4" w:rsidRDefault="006C3DE4" w:rsidP="006C3DE4">
            <w:pPr>
              <w:pStyle w:val="DDLBodyText"/>
              <w:snapToGrid w:val="0"/>
              <w:spacing w:after="0"/>
              <w:jc w:val="center"/>
              <w:rPr>
                <w:szCs w:val="18"/>
              </w:rPr>
            </w:pPr>
            <w:r w:rsidRPr="006C3DE4">
              <w:rPr>
                <w:szCs w:val="18"/>
                <w:lang w:val="en-US"/>
              </w:rPr>
              <w:t xml:space="preserve">4.1 </w:t>
            </w:r>
            <w:r w:rsidR="00571173" w:rsidRPr="00F51FCE">
              <w:rPr>
                <w:szCs w:val="18"/>
                <w:lang w:val="en-US"/>
              </w:rPr>
              <w:t>µ</w:t>
            </w:r>
            <w:r w:rsidRPr="006C3DE4">
              <w:rPr>
                <w:szCs w:val="18"/>
                <w:lang w:val="en-US"/>
              </w:rPr>
              <w:t>m</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BC8A14" w14:textId="408909D5" w:rsidR="006C3DE4" w:rsidRPr="006C3DE4" w:rsidRDefault="006C3DE4" w:rsidP="006C3DE4">
            <w:pPr>
              <w:pStyle w:val="DDLBodyText"/>
              <w:snapToGrid w:val="0"/>
              <w:spacing w:after="0"/>
              <w:jc w:val="center"/>
              <w:rPr>
                <w:szCs w:val="18"/>
              </w:rPr>
            </w:pPr>
            <w:r w:rsidRPr="006C3DE4">
              <w:rPr>
                <w:szCs w:val="18"/>
                <w:lang w:val="en-US"/>
              </w:rPr>
              <w:t>4.4</w:t>
            </w:r>
            <w:r w:rsidRPr="00F51FCE">
              <w:rPr>
                <w:szCs w:val="18"/>
                <w:lang w:val="en-US"/>
              </w:rPr>
              <w:t>1</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09C562" w14:textId="7B88973D" w:rsidR="006C3DE4" w:rsidRPr="006C3DE4" w:rsidRDefault="006C3DE4" w:rsidP="006C3DE4">
            <w:pPr>
              <w:pStyle w:val="DDLBodyText"/>
              <w:snapToGrid w:val="0"/>
              <w:spacing w:after="0"/>
              <w:jc w:val="center"/>
              <w:rPr>
                <w:szCs w:val="18"/>
              </w:rPr>
            </w:pPr>
            <w:r w:rsidRPr="006C3DE4">
              <w:rPr>
                <w:szCs w:val="18"/>
                <w:lang w:val="en-US"/>
              </w:rPr>
              <w:t>0.1</w:t>
            </w:r>
            <w:r w:rsidRPr="00F51FCE">
              <w:rPr>
                <w:szCs w:val="18"/>
                <w:lang w:val="en-US"/>
              </w:rPr>
              <w:t>1</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E60935" w14:textId="285253F8" w:rsidR="006C3DE4" w:rsidRPr="006C3DE4" w:rsidRDefault="006C3DE4" w:rsidP="006C3DE4">
            <w:pPr>
              <w:pStyle w:val="DDLBodyText"/>
              <w:snapToGrid w:val="0"/>
              <w:spacing w:after="0"/>
              <w:jc w:val="center"/>
              <w:rPr>
                <w:szCs w:val="18"/>
              </w:rPr>
            </w:pPr>
            <w:r w:rsidRPr="006C3DE4">
              <w:rPr>
                <w:szCs w:val="18"/>
                <w:lang w:val="en-US"/>
              </w:rPr>
              <w:t>58.</w:t>
            </w:r>
            <w:r w:rsidRPr="00F51FCE">
              <w:rPr>
                <w:szCs w:val="18"/>
                <w:lang w:val="en-US"/>
              </w:rPr>
              <w:t>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FC1078" w14:textId="1407C921" w:rsidR="006C3DE4" w:rsidRPr="006C3DE4" w:rsidRDefault="006C3DE4" w:rsidP="006C3DE4">
            <w:pPr>
              <w:pStyle w:val="DDLBodyText"/>
              <w:snapToGrid w:val="0"/>
              <w:spacing w:after="0"/>
              <w:jc w:val="center"/>
              <w:rPr>
                <w:szCs w:val="18"/>
              </w:rPr>
            </w:pPr>
            <w:r w:rsidRPr="006C3DE4">
              <w:rPr>
                <w:szCs w:val="18"/>
                <w:lang w:val="en-US"/>
              </w:rPr>
              <w:t>1.</w:t>
            </w:r>
            <w:r w:rsidRPr="00F51FCE">
              <w:rPr>
                <w:szCs w:val="18"/>
                <w:lang w:val="en-US"/>
              </w:rPr>
              <w:t>6</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1099BE" w14:textId="25B4F397" w:rsidR="006C3DE4" w:rsidRPr="006C3DE4" w:rsidRDefault="006C3DE4" w:rsidP="006C3DE4">
            <w:pPr>
              <w:pStyle w:val="DDLBodyText"/>
              <w:snapToGrid w:val="0"/>
              <w:spacing w:after="0"/>
              <w:jc w:val="center"/>
              <w:rPr>
                <w:szCs w:val="18"/>
              </w:rPr>
            </w:pPr>
            <w:r w:rsidRPr="006C3DE4">
              <w:rPr>
                <w:szCs w:val="18"/>
                <w:lang w:val="en-US"/>
              </w:rPr>
              <w:t>1.75</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E6F92C" w14:textId="5A8AC8CD" w:rsidR="006C3DE4" w:rsidRPr="006C3DE4" w:rsidRDefault="006C3DE4" w:rsidP="006C3DE4">
            <w:pPr>
              <w:pStyle w:val="DDLBodyText"/>
              <w:snapToGrid w:val="0"/>
              <w:spacing w:after="0"/>
              <w:jc w:val="center"/>
              <w:rPr>
                <w:szCs w:val="18"/>
              </w:rPr>
            </w:pPr>
            <w:r w:rsidRPr="006C3DE4">
              <w:rPr>
                <w:szCs w:val="18"/>
                <w:lang w:val="en-US"/>
              </w:rPr>
              <w:t>0.03</w:t>
            </w:r>
          </w:p>
        </w:tc>
      </w:tr>
    </w:tbl>
    <w:p w14:paraId="294FBAA0" w14:textId="15642C88" w:rsidR="000C5CD6" w:rsidRDefault="000C5CD6" w:rsidP="00A0358B">
      <w:pPr>
        <w:pStyle w:val="DDLBodyText"/>
        <w:rPr>
          <w:sz w:val="20"/>
        </w:rPr>
      </w:pPr>
    </w:p>
    <w:p w14:paraId="748F7149" w14:textId="58DC72EF" w:rsidR="0076610D" w:rsidRPr="006C3DE4" w:rsidRDefault="0076610D" w:rsidP="0076610D">
      <w:pPr>
        <w:pStyle w:val="DDLCaption"/>
        <w:rPr>
          <w:sz w:val="18"/>
          <w:szCs w:val="18"/>
        </w:rPr>
      </w:pPr>
      <w:r>
        <w:rPr>
          <w:sz w:val="18"/>
          <w:szCs w:val="18"/>
        </w:rPr>
        <w:t>Table</w:t>
      </w:r>
      <w:r w:rsidRPr="005D1383">
        <w:rPr>
          <w:sz w:val="18"/>
          <w:szCs w:val="18"/>
        </w:rPr>
        <w:t xml:space="preserve"> </w:t>
      </w:r>
      <w:r>
        <w:rPr>
          <w:sz w:val="18"/>
          <w:szCs w:val="18"/>
        </w:rPr>
        <w:t>2</w:t>
      </w:r>
      <w:r w:rsidRPr="005D1383">
        <w:rPr>
          <w:sz w:val="18"/>
          <w:szCs w:val="18"/>
        </w:rPr>
        <w:t xml:space="preserve"> -</w:t>
      </w:r>
      <w:r w:rsidRPr="005D1383">
        <w:rPr>
          <w:sz w:val="18"/>
          <w:szCs w:val="18"/>
        </w:rPr>
        <w:tab/>
      </w:r>
      <w:r>
        <w:rPr>
          <w:sz w:val="18"/>
          <w:szCs w:val="18"/>
        </w:rPr>
        <w:t xml:space="preserve">Collected data with the breath simulator </w:t>
      </w:r>
      <w:r w:rsidR="00C84FBE">
        <w:rPr>
          <w:sz w:val="18"/>
          <w:szCs w:val="18"/>
        </w:rPr>
        <w:t>for different pore size groups under 60% triggering span, nebuli</w:t>
      </w:r>
      <w:r w:rsidR="000C3302">
        <w:rPr>
          <w:sz w:val="18"/>
          <w:szCs w:val="18"/>
        </w:rPr>
        <w:t>s</w:t>
      </w:r>
      <w:r w:rsidR="00C84FBE">
        <w:rPr>
          <w:sz w:val="18"/>
          <w:szCs w:val="18"/>
        </w:rPr>
        <w:t xml:space="preserve">ing 0.1% albuterol </w:t>
      </w:r>
      <w:r>
        <w:rPr>
          <w:sz w:val="18"/>
          <w:szCs w:val="18"/>
        </w:rPr>
        <w:t>(n=4</w:t>
      </w:r>
      <w:r w:rsidR="00C84FBE">
        <w:rPr>
          <w:sz w:val="18"/>
          <w:szCs w:val="18"/>
        </w:rPr>
        <w:t>, triplicates</w:t>
      </w:r>
      <w:r>
        <w:rPr>
          <w:sz w:val="18"/>
          <w:szCs w:val="18"/>
        </w:rPr>
        <w:t>)</w:t>
      </w:r>
    </w:p>
    <w:tbl>
      <w:tblPr>
        <w:tblW w:w="9062" w:type="dxa"/>
        <w:jc w:val="center"/>
        <w:tblCellMar>
          <w:left w:w="0" w:type="dxa"/>
          <w:right w:w="0" w:type="dxa"/>
        </w:tblCellMar>
        <w:tblLook w:val="0600" w:firstRow="0" w:lastRow="0" w:firstColumn="0" w:lastColumn="0" w:noHBand="1" w:noVBand="1"/>
      </w:tblPr>
      <w:tblGrid>
        <w:gridCol w:w="1197"/>
        <w:gridCol w:w="1021"/>
        <w:gridCol w:w="1022"/>
        <w:gridCol w:w="1027"/>
        <w:gridCol w:w="974"/>
        <w:gridCol w:w="1022"/>
        <w:gridCol w:w="997"/>
        <w:gridCol w:w="901"/>
        <w:gridCol w:w="901"/>
      </w:tblGrid>
      <w:tr w:rsidR="00A47EAC" w:rsidRPr="00F51FCE" w14:paraId="70F84E6E" w14:textId="574A652F" w:rsidTr="00960163">
        <w:trPr>
          <w:trHeight w:val="227"/>
          <w:jc w:val="center"/>
        </w:trPr>
        <w:tc>
          <w:tcPr>
            <w:tcW w:w="1197" w:type="dxa"/>
            <w:vMerge w:val="restart"/>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center"/>
            <w:hideMark/>
          </w:tcPr>
          <w:p w14:paraId="1F7B57C4" w14:textId="5D7E1DE9" w:rsidR="00A47EAC" w:rsidRPr="006C3DE4" w:rsidRDefault="00A47EAC" w:rsidP="002C28E7">
            <w:pPr>
              <w:pStyle w:val="DDLBodyText"/>
              <w:snapToGrid w:val="0"/>
              <w:spacing w:after="0"/>
              <w:jc w:val="center"/>
              <w:rPr>
                <w:szCs w:val="18"/>
                <w:lang w:val="en-US"/>
              </w:rPr>
            </w:pPr>
            <w:r w:rsidRPr="00F51FCE">
              <w:rPr>
                <w:szCs w:val="18"/>
                <w:lang w:val="en-US"/>
              </w:rPr>
              <w:t xml:space="preserve">Pore Size </w:t>
            </w:r>
          </w:p>
        </w:tc>
        <w:tc>
          <w:tcPr>
            <w:tcW w:w="204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E2BED6" w14:textId="7E15752B" w:rsidR="00A47EAC" w:rsidRPr="006C3DE4" w:rsidRDefault="00A47EAC" w:rsidP="00E66D24">
            <w:pPr>
              <w:pStyle w:val="DDLBodyText"/>
              <w:snapToGrid w:val="0"/>
              <w:spacing w:after="0"/>
              <w:jc w:val="center"/>
              <w:rPr>
                <w:szCs w:val="18"/>
              </w:rPr>
            </w:pPr>
            <w:r w:rsidRPr="00F51FCE">
              <w:rPr>
                <w:szCs w:val="18"/>
                <w:lang w:val="en-US"/>
              </w:rPr>
              <w:t>Treatment Time (mm:ss)</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AC00044" w14:textId="49EF1BF5" w:rsidR="00A47EAC" w:rsidRPr="006C3DE4" w:rsidRDefault="00A47EAC" w:rsidP="00E66D24">
            <w:pPr>
              <w:pStyle w:val="DDLBodyText"/>
              <w:snapToGrid w:val="0"/>
              <w:spacing w:after="0"/>
              <w:jc w:val="center"/>
              <w:rPr>
                <w:szCs w:val="18"/>
              </w:rPr>
            </w:pPr>
            <w:r w:rsidRPr="00F51FCE">
              <w:rPr>
                <w:szCs w:val="18"/>
                <w:lang w:val="en-US"/>
              </w:rPr>
              <w:t>Delivered Dose (%)</w:t>
            </w:r>
          </w:p>
        </w:tc>
        <w:tc>
          <w:tcPr>
            <w:tcW w:w="2019"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D71973" w14:textId="5A3D9435" w:rsidR="00A47EAC" w:rsidRPr="006C3DE4" w:rsidRDefault="00A47EAC" w:rsidP="00E66D24">
            <w:pPr>
              <w:pStyle w:val="DDLBodyText"/>
              <w:snapToGrid w:val="0"/>
              <w:spacing w:after="0"/>
              <w:jc w:val="center"/>
              <w:rPr>
                <w:szCs w:val="18"/>
              </w:rPr>
            </w:pPr>
            <w:r w:rsidRPr="00F51FCE">
              <w:rPr>
                <w:szCs w:val="18"/>
                <w:lang w:val="en-US"/>
              </w:rPr>
              <w:t>Delivery Rate (mg/min)</w:t>
            </w:r>
          </w:p>
        </w:tc>
        <w:tc>
          <w:tcPr>
            <w:tcW w:w="1802" w:type="dxa"/>
            <w:gridSpan w:val="2"/>
            <w:tcBorders>
              <w:top w:val="single" w:sz="4" w:space="0" w:color="000000"/>
              <w:left w:val="single" w:sz="4" w:space="0" w:color="000000"/>
              <w:bottom w:val="single" w:sz="4" w:space="0" w:color="auto"/>
              <w:right w:val="single" w:sz="4" w:space="0" w:color="000000"/>
            </w:tcBorders>
          </w:tcPr>
          <w:p w14:paraId="5C189B15" w14:textId="402DF1B0" w:rsidR="00A47EAC" w:rsidRPr="00F51FCE" w:rsidRDefault="00A47EAC" w:rsidP="00E66D24">
            <w:pPr>
              <w:pStyle w:val="DDLBodyText"/>
              <w:snapToGrid w:val="0"/>
              <w:spacing w:after="0"/>
              <w:jc w:val="center"/>
              <w:rPr>
                <w:szCs w:val="18"/>
                <w:lang w:val="en-US"/>
              </w:rPr>
            </w:pPr>
            <w:r>
              <w:rPr>
                <w:szCs w:val="18"/>
                <w:lang w:val="en-US"/>
              </w:rPr>
              <w:t>Respirable Dose (mg)</w:t>
            </w:r>
          </w:p>
        </w:tc>
      </w:tr>
      <w:tr w:rsidR="00960163" w:rsidRPr="00F51FCE" w14:paraId="47EB681A" w14:textId="37025AC2" w:rsidTr="00960163">
        <w:trPr>
          <w:trHeight w:val="227"/>
          <w:jc w:val="center"/>
        </w:trPr>
        <w:tc>
          <w:tcPr>
            <w:tcW w:w="1197" w:type="dxa"/>
            <w:vMerge/>
            <w:tcBorders>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0E5C342" w14:textId="77777777" w:rsidR="00960163" w:rsidRPr="006C3DE4" w:rsidRDefault="00960163" w:rsidP="00960163">
            <w:pPr>
              <w:pStyle w:val="DDLBodyText"/>
              <w:snapToGrid w:val="0"/>
              <w:spacing w:after="0"/>
              <w:jc w:val="center"/>
              <w:rPr>
                <w:szCs w:val="18"/>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8060AB" w14:textId="77777777" w:rsidR="00960163" w:rsidRPr="006C3DE4" w:rsidRDefault="00960163" w:rsidP="00960163">
            <w:pPr>
              <w:pStyle w:val="DDLBodyText"/>
              <w:snapToGrid w:val="0"/>
              <w:spacing w:after="0"/>
              <w:jc w:val="center"/>
              <w:rPr>
                <w:szCs w:val="18"/>
              </w:rPr>
            </w:pPr>
            <w:r w:rsidRPr="006C3DE4">
              <w:rPr>
                <w:szCs w:val="18"/>
                <w:lang w:val="en-US"/>
              </w:rPr>
              <w:t>Mean</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D09419D" w14:textId="77777777" w:rsidR="00960163" w:rsidRPr="006C3DE4" w:rsidRDefault="00960163" w:rsidP="00960163">
            <w:pPr>
              <w:pStyle w:val="DDLBodyText"/>
              <w:snapToGrid w:val="0"/>
              <w:spacing w:after="0"/>
              <w:jc w:val="center"/>
              <w:rPr>
                <w:szCs w:val="18"/>
              </w:rPr>
            </w:pPr>
            <w:r w:rsidRPr="006C3DE4">
              <w:rPr>
                <w:szCs w:val="18"/>
                <w:lang w:val="en-US"/>
              </w:rPr>
              <w:t>SD</w:t>
            </w: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26D993" w14:textId="77777777" w:rsidR="00960163" w:rsidRPr="006C3DE4" w:rsidRDefault="00960163" w:rsidP="00960163">
            <w:pPr>
              <w:pStyle w:val="DDLBodyText"/>
              <w:snapToGrid w:val="0"/>
              <w:spacing w:after="0"/>
              <w:jc w:val="center"/>
              <w:rPr>
                <w:szCs w:val="18"/>
              </w:rPr>
            </w:pPr>
            <w:r w:rsidRPr="006C3DE4">
              <w:rPr>
                <w:szCs w:val="18"/>
                <w:lang w:val="en-US"/>
              </w:rPr>
              <w:t>Mean</w:t>
            </w: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8759AB4" w14:textId="77777777" w:rsidR="00960163" w:rsidRPr="006C3DE4" w:rsidRDefault="00960163" w:rsidP="00960163">
            <w:pPr>
              <w:pStyle w:val="DDLBodyText"/>
              <w:snapToGrid w:val="0"/>
              <w:spacing w:after="0"/>
              <w:jc w:val="center"/>
              <w:rPr>
                <w:szCs w:val="18"/>
              </w:rPr>
            </w:pPr>
            <w:r w:rsidRPr="006C3DE4">
              <w:rPr>
                <w:szCs w:val="18"/>
                <w:lang w:val="en-US"/>
              </w:rPr>
              <w:t>SD</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2BCD9B9" w14:textId="77777777" w:rsidR="00960163" w:rsidRPr="006C3DE4" w:rsidRDefault="00960163" w:rsidP="00960163">
            <w:pPr>
              <w:pStyle w:val="DDLBodyText"/>
              <w:snapToGrid w:val="0"/>
              <w:spacing w:after="0"/>
              <w:jc w:val="center"/>
              <w:rPr>
                <w:szCs w:val="18"/>
              </w:rPr>
            </w:pPr>
            <w:r w:rsidRPr="006C3DE4">
              <w:rPr>
                <w:szCs w:val="18"/>
                <w:lang w:val="en-US"/>
              </w:rPr>
              <w:t>Mean</w:t>
            </w:r>
          </w:p>
        </w:tc>
        <w:tc>
          <w:tcPr>
            <w:tcW w:w="997" w:type="dxa"/>
            <w:tcBorders>
              <w:top w:val="single" w:sz="4" w:space="0" w:color="000000"/>
              <w:left w:val="single" w:sz="4" w:space="0" w:color="000000"/>
              <w:bottom w:val="single" w:sz="4" w:space="0" w:color="000000"/>
              <w:right w:val="single" w:sz="4" w:space="0" w:color="auto"/>
            </w:tcBorders>
            <w:shd w:val="clear" w:color="auto" w:fill="auto"/>
            <w:tcMar>
              <w:top w:w="15" w:type="dxa"/>
              <w:left w:w="15" w:type="dxa"/>
              <w:bottom w:w="0" w:type="dxa"/>
              <w:right w:w="15" w:type="dxa"/>
            </w:tcMar>
            <w:vAlign w:val="center"/>
            <w:hideMark/>
          </w:tcPr>
          <w:p w14:paraId="31F966D9" w14:textId="77777777" w:rsidR="00960163" w:rsidRPr="006C3DE4" w:rsidRDefault="00960163" w:rsidP="00960163">
            <w:pPr>
              <w:pStyle w:val="DDLBodyText"/>
              <w:snapToGrid w:val="0"/>
              <w:spacing w:after="0"/>
              <w:jc w:val="center"/>
              <w:rPr>
                <w:szCs w:val="18"/>
              </w:rPr>
            </w:pPr>
            <w:r w:rsidRPr="006C3DE4">
              <w:rPr>
                <w:szCs w:val="18"/>
                <w:lang w:val="en-US"/>
              </w:rPr>
              <w:t>SD</w:t>
            </w:r>
          </w:p>
        </w:tc>
        <w:tc>
          <w:tcPr>
            <w:tcW w:w="901" w:type="dxa"/>
            <w:tcBorders>
              <w:top w:val="single" w:sz="4" w:space="0" w:color="auto"/>
              <w:left w:val="single" w:sz="4" w:space="0" w:color="auto"/>
              <w:bottom w:val="single" w:sz="4" w:space="0" w:color="auto"/>
              <w:right w:val="single" w:sz="4" w:space="0" w:color="auto"/>
            </w:tcBorders>
          </w:tcPr>
          <w:p w14:paraId="70E2F7C7" w14:textId="258BFCD9" w:rsidR="00960163" w:rsidRPr="006C3DE4" w:rsidRDefault="00960163" w:rsidP="00960163">
            <w:pPr>
              <w:pStyle w:val="DDLBodyText"/>
              <w:snapToGrid w:val="0"/>
              <w:spacing w:after="0"/>
              <w:jc w:val="center"/>
              <w:rPr>
                <w:szCs w:val="18"/>
                <w:lang w:val="en-US"/>
              </w:rPr>
            </w:pPr>
            <w:r w:rsidRPr="00D250E7">
              <w:t>Mean</w:t>
            </w:r>
          </w:p>
        </w:tc>
        <w:tc>
          <w:tcPr>
            <w:tcW w:w="901" w:type="dxa"/>
            <w:tcBorders>
              <w:top w:val="single" w:sz="4" w:space="0" w:color="auto"/>
              <w:left w:val="single" w:sz="4" w:space="0" w:color="auto"/>
              <w:bottom w:val="single" w:sz="4" w:space="0" w:color="auto"/>
              <w:right w:val="single" w:sz="4" w:space="0" w:color="auto"/>
            </w:tcBorders>
          </w:tcPr>
          <w:p w14:paraId="70608E0E" w14:textId="066FE6C7" w:rsidR="00960163" w:rsidRPr="006C3DE4" w:rsidRDefault="00960163" w:rsidP="00960163">
            <w:pPr>
              <w:pStyle w:val="DDLBodyText"/>
              <w:snapToGrid w:val="0"/>
              <w:spacing w:after="0"/>
              <w:jc w:val="center"/>
              <w:rPr>
                <w:szCs w:val="18"/>
                <w:lang w:val="en-US"/>
              </w:rPr>
            </w:pPr>
            <w:r w:rsidRPr="00D250E7">
              <w:t>SD</w:t>
            </w:r>
          </w:p>
        </w:tc>
      </w:tr>
      <w:tr w:rsidR="00960163" w:rsidRPr="00F51FCE" w14:paraId="4B1D061C" w14:textId="43369729" w:rsidTr="00960163">
        <w:trPr>
          <w:trHeight w:val="227"/>
          <w:jc w:val="center"/>
        </w:trPr>
        <w:tc>
          <w:tcPr>
            <w:tcW w:w="11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D057C0C" w14:textId="107EDD2C" w:rsidR="00960163" w:rsidRPr="006C3DE4" w:rsidRDefault="00960163" w:rsidP="00960163">
            <w:pPr>
              <w:pStyle w:val="DDLBodyText"/>
              <w:snapToGrid w:val="0"/>
              <w:spacing w:after="0"/>
              <w:jc w:val="center"/>
              <w:rPr>
                <w:szCs w:val="18"/>
              </w:rPr>
            </w:pPr>
            <w:r w:rsidRPr="006C3DE4">
              <w:rPr>
                <w:szCs w:val="18"/>
                <w:lang w:val="en-US"/>
              </w:rPr>
              <w:t xml:space="preserve">3.7 </w:t>
            </w:r>
            <w:r w:rsidRPr="00F51FCE">
              <w:rPr>
                <w:szCs w:val="18"/>
                <w:lang w:val="en-US"/>
              </w:rPr>
              <w:t>µ</w:t>
            </w:r>
            <w:r w:rsidRPr="006C3DE4">
              <w:rPr>
                <w:szCs w:val="18"/>
                <w:lang w:val="en-US"/>
              </w:rPr>
              <w:t>m</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674A097" w14:textId="2A7F051C"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11:31</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3419E98" w14:textId="542E1365"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01:20</w:t>
            </w: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6DE99D" w14:textId="238DA934"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81.9</w:t>
            </w: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EA7EEF3" w14:textId="3C6DB3E7"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4.2</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86B29E" w14:textId="63B891D6"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0.14</w:t>
            </w:r>
          </w:p>
        </w:tc>
        <w:tc>
          <w:tcPr>
            <w:tcW w:w="997" w:type="dxa"/>
            <w:tcBorders>
              <w:top w:val="single" w:sz="4" w:space="0" w:color="000000"/>
              <w:left w:val="single" w:sz="4" w:space="0" w:color="000000"/>
              <w:bottom w:val="single" w:sz="4" w:space="0" w:color="000000"/>
              <w:right w:val="single" w:sz="4" w:space="0" w:color="auto"/>
            </w:tcBorders>
            <w:shd w:val="clear" w:color="auto" w:fill="auto"/>
            <w:tcMar>
              <w:top w:w="15" w:type="dxa"/>
              <w:left w:w="15" w:type="dxa"/>
              <w:bottom w:w="0" w:type="dxa"/>
              <w:right w:w="15" w:type="dxa"/>
            </w:tcMar>
            <w:vAlign w:val="center"/>
            <w:hideMark/>
          </w:tcPr>
          <w:p w14:paraId="697F1387" w14:textId="56CF8AB3"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0.01</w:t>
            </w:r>
          </w:p>
        </w:tc>
        <w:tc>
          <w:tcPr>
            <w:tcW w:w="901" w:type="dxa"/>
            <w:tcBorders>
              <w:top w:val="single" w:sz="4" w:space="0" w:color="auto"/>
              <w:left w:val="single" w:sz="4" w:space="0" w:color="auto"/>
              <w:bottom w:val="single" w:sz="4" w:space="0" w:color="auto"/>
              <w:right w:val="single" w:sz="4" w:space="0" w:color="auto"/>
            </w:tcBorders>
          </w:tcPr>
          <w:p w14:paraId="01FDB615" w14:textId="012C4F0B" w:rsidR="00960163" w:rsidRPr="00F51FCE" w:rsidRDefault="00960163" w:rsidP="00960163">
            <w:pPr>
              <w:pStyle w:val="DDLBodyText"/>
              <w:snapToGrid w:val="0"/>
              <w:spacing w:after="0"/>
              <w:jc w:val="center"/>
              <w:rPr>
                <w:rFonts w:eastAsia="PMingLiU" w:cs="Arial"/>
                <w:color w:val="000000"/>
                <w:kern w:val="24"/>
                <w:szCs w:val="18"/>
                <w:lang w:val="en-US"/>
              </w:rPr>
            </w:pPr>
            <w:r w:rsidRPr="00D250E7">
              <w:t>1</w:t>
            </w:r>
            <w:r w:rsidR="006C2A3B">
              <w:t>.</w:t>
            </w:r>
            <w:r w:rsidRPr="00D250E7">
              <w:t>10</w:t>
            </w:r>
          </w:p>
        </w:tc>
        <w:tc>
          <w:tcPr>
            <w:tcW w:w="901" w:type="dxa"/>
            <w:tcBorders>
              <w:top w:val="single" w:sz="4" w:space="0" w:color="auto"/>
              <w:left w:val="single" w:sz="4" w:space="0" w:color="auto"/>
              <w:bottom w:val="single" w:sz="4" w:space="0" w:color="auto"/>
              <w:right w:val="single" w:sz="4" w:space="0" w:color="auto"/>
            </w:tcBorders>
          </w:tcPr>
          <w:p w14:paraId="2051E546" w14:textId="2E6BEA89" w:rsidR="00960163" w:rsidRPr="00F51FCE" w:rsidRDefault="006C2A3B" w:rsidP="00960163">
            <w:pPr>
              <w:pStyle w:val="DDLBodyText"/>
              <w:snapToGrid w:val="0"/>
              <w:spacing w:after="0"/>
              <w:jc w:val="center"/>
              <w:rPr>
                <w:rFonts w:eastAsia="PMingLiU" w:cs="Arial"/>
                <w:color w:val="000000"/>
                <w:kern w:val="24"/>
                <w:szCs w:val="18"/>
                <w:lang w:val="en-US"/>
              </w:rPr>
            </w:pPr>
            <w:r>
              <w:t>0.0</w:t>
            </w:r>
            <w:r w:rsidR="00960163" w:rsidRPr="00D250E7">
              <w:t>9</w:t>
            </w:r>
          </w:p>
        </w:tc>
      </w:tr>
      <w:tr w:rsidR="00960163" w:rsidRPr="00F51FCE" w14:paraId="2C62AAEB" w14:textId="00D57F0F" w:rsidTr="00960163">
        <w:trPr>
          <w:trHeight w:val="227"/>
          <w:jc w:val="center"/>
        </w:trPr>
        <w:tc>
          <w:tcPr>
            <w:tcW w:w="11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803D16" w14:textId="51853C51" w:rsidR="00960163" w:rsidRPr="006C3DE4" w:rsidRDefault="00960163" w:rsidP="00960163">
            <w:pPr>
              <w:pStyle w:val="DDLBodyText"/>
              <w:snapToGrid w:val="0"/>
              <w:spacing w:after="0"/>
              <w:jc w:val="center"/>
              <w:rPr>
                <w:szCs w:val="18"/>
              </w:rPr>
            </w:pPr>
            <w:r w:rsidRPr="006C3DE4">
              <w:rPr>
                <w:szCs w:val="18"/>
                <w:lang w:val="en-US"/>
              </w:rPr>
              <w:t xml:space="preserve">3.9 </w:t>
            </w:r>
            <w:r w:rsidRPr="00F51FCE">
              <w:rPr>
                <w:szCs w:val="18"/>
                <w:lang w:val="en-US"/>
              </w:rPr>
              <w:t>µ</w:t>
            </w:r>
            <w:r w:rsidRPr="006C3DE4">
              <w:rPr>
                <w:szCs w:val="18"/>
                <w:lang w:val="en-US"/>
              </w:rPr>
              <w:t>m</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B43175" w14:textId="658A9E9B"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09:05</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DA45BE" w14:textId="49E318F4"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00:39</w:t>
            </w: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0B28DFA" w14:textId="7AF4570E"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81.8</w:t>
            </w: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CFD5E59" w14:textId="579B826D"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1.4</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F1974D0" w14:textId="3ABF9F53"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0.18</w:t>
            </w:r>
          </w:p>
        </w:tc>
        <w:tc>
          <w:tcPr>
            <w:tcW w:w="997" w:type="dxa"/>
            <w:tcBorders>
              <w:top w:val="single" w:sz="4" w:space="0" w:color="000000"/>
              <w:left w:val="single" w:sz="4" w:space="0" w:color="000000"/>
              <w:bottom w:val="single" w:sz="4" w:space="0" w:color="000000"/>
              <w:right w:val="single" w:sz="4" w:space="0" w:color="auto"/>
            </w:tcBorders>
            <w:shd w:val="clear" w:color="auto" w:fill="auto"/>
            <w:tcMar>
              <w:top w:w="15" w:type="dxa"/>
              <w:left w:w="15" w:type="dxa"/>
              <w:bottom w:w="0" w:type="dxa"/>
              <w:right w:w="15" w:type="dxa"/>
            </w:tcMar>
            <w:vAlign w:val="center"/>
            <w:hideMark/>
          </w:tcPr>
          <w:p w14:paraId="0EA35E3B" w14:textId="7308E844"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0.01</w:t>
            </w:r>
          </w:p>
        </w:tc>
        <w:tc>
          <w:tcPr>
            <w:tcW w:w="901" w:type="dxa"/>
            <w:tcBorders>
              <w:top w:val="single" w:sz="4" w:space="0" w:color="auto"/>
              <w:left w:val="single" w:sz="4" w:space="0" w:color="auto"/>
              <w:bottom w:val="single" w:sz="4" w:space="0" w:color="auto"/>
              <w:right w:val="single" w:sz="4" w:space="0" w:color="auto"/>
            </w:tcBorders>
          </w:tcPr>
          <w:p w14:paraId="22E35666" w14:textId="238B90ED" w:rsidR="00960163" w:rsidRPr="00F51FCE" w:rsidRDefault="006C2A3B" w:rsidP="00960163">
            <w:pPr>
              <w:pStyle w:val="DDLBodyText"/>
              <w:snapToGrid w:val="0"/>
              <w:spacing w:after="0"/>
              <w:jc w:val="center"/>
              <w:rPr>
                <w:rFonts w:eastAsia="PMingLiU" w:cs="Arial"/>
                <w:color w:val="000000"/>
                <w:kern w:val="24"/>
                <w:szCs w:val="18"/>
                <w:lang w:val="en-US"/>
              </w:rPr>
            </w:pPr>
            <w:r>
              <w:t>0.</w:t>
            </w:r>
            <w:r w:rsidR="00960163" w:rsidRPr="00D250E7">
              <w:t>99</w:t>
            </w:r>
          </w:p>
        </w:tc>
        <w:tc>
          <w:tcPr>
            <w:tcW w:w="901" w:type="dxa"/>
            <w:tcBorders>
              <w:top w:val="single" w:sz="4" w:space="0" w:color="auto"/>
              <w:left w:val="single" w:sz="4" w:space="0" w:color="auto"/>
              <w:bottom w:val="single" w:sz="4" w:space="0" w:color="auto"/>
              <w:right w:val="single" w:sz="4" w:space="0" w:color="auto"/>
            </w:tcBorders>
          </w:tcPr>
          <w:p w14:paraId="197800A6" w14:textId="3CE662F0" w:rsidR="00960163" w:rsidRPr="00F51FCE" w:rsidRDefault="006C2A3B" w:rsidP="00960163">
            <w:pPr>
              <w:pStyle w:val="DDLBodyText"/>
              <w:snapToGrid w:val="0"/>
              <w:spacing w:after="0"/>
              <w:jc w:val="center"/>
              <w:rPr>
                <w:rFonts w:eastAsia="PMingLiU" w:cs="Arial"/>
                <w:color w:val="000000"/>
                <w:kern w:val="24"/>
                <w:szCs w:val="18"/>
                <w:lang w:val="en-US"/>
              </w:rPr>
            </w:pPr>
            <w:r>
              <w:t>0.0</w:t>
            </w:r>
            <w:r w:rsidR="00960163" w:rsidRPr="00D250E7">
              <w:t>5</w:t>
            </w:r>
          </w:p>
        </w:tc>
      </w:tr>
      <w:tr w:rsidR="00960163" w:rsidRPr="00F51FCE" w14:paraId="76CACB90" w14:textId="2BBD9B80" w:rsidTr="00960163">
        <w:trPr>
          <w:trHeight w:val="227"/>
          <w:jc w:val="center"/>
        </w:trPr>
        <w:tc>
          <w:tcPr>
            <w:tcW w:w="11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043B6A9" w14:textId="4EF9A0D6" w:rsidR="00960163" w:rsidRPr="006C3DE4" w:rsidRDefault="00960163" w:rsidP="00960163">
            <w:pPr>
              <w:pStyle w:val="DDLBodyText"/>
              <w:snapToGrid w:val="0"/>
              <w:spacing w:after="0"/>
              <w:jc w:val="center"/>
              <w:rPr>
                <w:szCs w:val="18"/>
              </w:rPr>
            </w:pPr>
            <w:r w:rsidRPr="006C3DE4">
              <w:rPr>
                <w:szCs w:val="18"/>
                <w:lang w:val="en-US"/>
              </w:rPr>
              <w:t xml:space="preserve">4.1 </w:t>
            </w:r>
            <w:r w:rsidRPr="00F51FCE">
              <w:rPr>
                <w:szCs w:val="18"/>
                <w:lang w:val="en-US"/>
              </w:rPr>
              <w:t>µ</w:t>
            </w:r>
            <w:r w:rsidRPr="006C3DE4">
              <w:rPr>
                <w:szCs w:val="18"/>
                <w:lang w:val="en-US"/>
              </w:rPr>
              <w:t>m</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0C36190" w14:textId="49939553"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07:16</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82A7EF" w14:textId="19755FCF"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00:27</w:t>
            </w: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9712E66" w14:textId="19E334CF"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77.6</w:t>
            </w: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0DF033" w14:textId="03E783D1"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4.1</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C4A9A5" w14:textId="12C2D0C3"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0.22</w:t>
            </w:r>
          </w:p>
        </w:tc>
        <w:tc>
          <w:tcPr>
            <w:tcW w:w="997" w:type="dxa"/>
            <w:tcBorders>
              <w:top w:val="single" w:sz="4" w:space="0" w:color="000000"/>
              <w:left w:val="single" w:sz="4" w:space="0" w:color="000000"/>
              <w:bottom w:val="single" w:sz="4" w:space="0" w:color="000000"/>
              <w:right w:val="single" w:sz="4" w:space="0" w:color="auto"/>
            </w:tcBorders>
            <w:shd w:val="clear" w:color="auto" w:fill="auto"/>
            <w:tcMar>
              <w:top w:w="15" w:type="dxa"/>
              <w:left w:w="15" w:type="dxa"/>
              <w:bottom w:w="0" w:type="dxa"/>
              <w:right w:w="15" w:type="dxa"/>
            </w:tcMar>
            <w:vAlign w:val="center"/>
            <w:hideMark/>
          </w:tcPr>
          <w:p w14:paraId="46AD05F8" w14:textId="37C3607B" w:rsidR="00960163" w:rsidRPr="006C3DE4" w:rsidRDefault="00960163" w:rsidP="00960163">
            <w:pPr>
              <w:pStyle w:val="DDLBodyText"/>
              <w:snapToGrid w:val="0"/>
              <w:spacing w:after="0"/>
              <w:jc w:val="center"/>
              <w:rPr>
                <w:rFonts w:cs="Arial"/>
                <w:szCs w:val="18"/>
              </w:rPr>
            </w:pPr>
            <w:r w:rsidRPr="00F51FCE">
              <w:rPr>
                <w:rFonts w:eastAsia="PMingLiU" w:cs="Arial"/>
                <w:color w:val="000000"/>
                <w:kern w:val="24"/>
                <w:szCs w:val="18"/>
                <w:lang w:val="en-US"/>
              </w:rPr>
              <w:t>0.01</w:t>
            </w:r>
          </w:p>
        </w:tc>
        <w:tc>
          <w:tcPr>
            <w:tcW w:w="901" w:type="dxa"/>
            <w:tcBorders>
              <w:top w:val="single" w:sz="4" w:space="0" w:color="auto"/>
              <w:left w:val="single" w:sz="4" w:space="0" w:color="auto"/>
              <w:bottom w:val="single" w:sz="4" w:space="0" w:color="auto"/>
              <w:right w:val="single" w:sz="4" w:space="0" w:color="auto"/>
            </w:tcBorders>
          </w:tcPr>
          <w:p w14:paraId="21450E91" w14:textId="0B5D6727" w:rsidR="00960163" w:rsidRPr="00F51FCE" w:rsidRDefault="006C2A3B" w:rsidP="00960163">
            <w:pPr>
              <w:pStyle w:val="DDLBodyText"/>
              <w:snapToGrid w:val="0"/>
              <w:spacing w:after="0"/>
              <w:jc w:val="center"/>
              <w:rPr>
                <w:rFonts w:eastAsia="PMingLiU" w:cs="Arial"/>
                <w:color w:val="000000"/>
                <w:kern w:val="24"/>
                <w:szCs w:val="18"/>
                <w:lang w:val="en-US"/>
              </w:rPr>
            </w:pPr>
            <w:r>
              <w:t>0.</w:t>
            </w:r>
            <w:r w:rsidR="00960163" w:rsidRPr="00D250E7">
              <w:t>91</w:t>
            </w:r>
          </w:p>
        </w:tc>
        <w:tc>
          <w:tcPr>
            <w:tcW w:w="901" w:type="dxa"/>
            <w:tcBorders>
              <w:top w:val="single" w:sz="4" w:space="0" w:color="auto"/>
              <w:left w:val="single" w:sz="4" w:space="0" w:color="auto"/>
              <w:bottom w:val="single" w:sz="4" w:space="0" w:color="auto"/>
              <w:right w:val="single" w:sz="4" w:space="0" w:color="auto"/>
            </w:tcBorders>
          </w:tcPr>
          <w:p w14:paraId="24034F83" w14:textId="3A60693C" w:rsidR="00960163" w:rsidRPr="00F51FCE" w:rsidRDefault="006C2A3B" w:rsidP="00960163">
            <w:pPr>
              <w:pStyle w:val="DDLBodyText"/>
              <w:snapToGrid w:val="0"/>
              <w:spacing w:after="0"/>
              <w:jc w:val="center"/>
              <w:rPr>
                <w:rFonts w:eastAsia="PMingLiU" w:cs="Arial"/>
                <w:color w:val="000000"/>
                <w:kern w:val="24"/>
                <w:szCs w:val="18"/>
                <w:lang w:val="en-US"/>
              </w:rPr>
            </w:pPr>
            <w:r>
              <w:t>0.0</w:t>
            </w:r>
            <w:r w:rsidR="00960163" w:rsidRPr="00D250E7">
              <w:t>5</w:t>
            </w:r>
          </w:p>
        </w:tc>
      </w:tr>
    </w:tbl>
    <w:p w14:paraId="3F0D1946" w14:textId="2AA0D637" w:rsidR="0076610D" w:rsidRDefault="0076610D" w:rsidP="00A0358B">
      <w:pPr>
        <w:pStyle w:val="DDLBodyText"/>
        <w:rPr>
          <w:sz w:val="20"/>
        </w:rPr>
      </w:pPr>
    </w:p>
    <w:p w14:paraId="222654B0" w14:textId="20E7D195" w:rsidR="002C28E7" w:rsidRDefault="004334D1" w:rsidP="00A0358B">
      <w:pPr>
        <w:pStyle w:val="DDLBodyText"/>
        <w:rPr>
          <w:sz w:val="20"/>
        </w:rPr>
      </w:pPr>
      <w:r>
        <w:rPr>
          <w:sz w:val="20"/>
        </w:rPr>
        <w:t>As t</w:t>
      </w:r>
      <w:r w:rsidR="002C28E7">
        <w:rPr>
          <w:sz w:val="20"/>
        </w:rPr>
        <w:t xml:space="preserve">he mesh group 3.7µm generated the smallest DV50, it was </w:t>
      </w:r>
      <w:r>
        <w:rPr>
          <w:sz w:val="20"/>
        </w:rPr>
        <w:t xml:space="preserve">arbitrarily </w:t>
      </w:r>
      <w:r w:rsidR="002C28E7">
        <w:rPr>
          <w:sz w:val="20"/>
        </w:rPr>
        <w:t xml:space="preserve">selected for the second stage in which the four </w:t>
      </w:r>
      <w:r>
        <w:rPr>
          <w:sz w:val="20"/>
        </w:rPr>
        <w:t>medication reservoirs</w:t>
      </w:r>
      <w:r w:rsidR="002C28E7">
        <w:rPr>
          <w:sz w:val="20"/>
        </w:rPr>
        <w:t xml:space="preserve"> were tested with</w:t>
      </w:r>
      <w:r>
        <w:rPr>
          <w:sz w:val="20"/>
        </w:rPr>
        <w:t xml:space="preserve"> the</w:t>
      </w:r>
      <w:r w:rsidR="002C28E7">
        <w:rPr>
          <w:sz w:val="20"/>
        </w:rPr>
        <w:t xml:space="preserve"> three activation key tags. Table 3 </w:t>
      </w:r>
      <w:r w:rsidR="00C84FBE">
        <w:rPr>
          <w:sz w:val="20"/>
        </w:rPr>
        <w:t>summari</w:t>
      </w:r>
      <w:r w:rsidR="000C3302">
        <w:rPr>
          <w:sz w:val="20"/>
        </w:rPr>
        <w:t>s</w:t>
      </w:r>
      <w:r w:rsidR="00C84FBE">
        <w:rPr>
          <w:sz w:val="20"/>
        </w:rPr>
        <w:t>es the delivery performance for the three spans</w:t>
      </w:r>
      <w:r>
        <w:rPr>
          <w:sz w:val="20"/>
        </w:rPr>
        <w:t>,</w:t>
      </w:r>
      <w:r w:rsidR="00C84FBE">
        <w:rPr>
          <w:sz w:val="20"/>
        </w:rPr>
        <w:t xml:space="preserve"> displaying an inverse correlation between the triggering span and the treatment time.</w:t>
      </w:r>
      <w:r w:rsidR="00A35D52">
        <w:rPr>
          <w:sz w:val="20"/>
        </w:rPr>
        <w:t xml:space="preserve"> Figure 3 shows the delivery rate, respirable dose, and delivered dose </w:t>
      </w:r>
      <w:r w:rsidR="00ED6D1F">
        <w:rPr>
          <w:sz w:val="20"/>
        </w:rPr>
        <w:t>results</w:t>
      </w:r>
      <w:r w:rsidR="00A35D52">
        <w:rPr>
          <w:sz w:val="20"/>
        </w:rPr>
        <w:t xml:space="preserve"> for tests perform with the breathing simulator.</w:t>
      </w:r>
    </w:p>
    <w:p w14:paraId="24730C83" w14:textId="3D87A6C1" w:rsidR="00C84FBE" w:rsidRPr="00C84FBE" w:rsidRDefault="00C84FBE" w:rsidP="00C84FBE">
      <w:pPr>
        <w:pStyle w:val="DDLCaption"/>
        <w:rPr>
          <w:sz w:val="18"/>
          <w:szCs w:val="18"/>
        </w:rPr>
      </w:pPr>
      <w:r>
        <w:rPr>
          <w:sz w:val="18"/>
          <w:szCs w:val="18"/>
        </w:rPr>
        <w:t>Table</w:t>
      </w:r>
      <w:r w:rsidRPr="005D1383">
        <w:rPr>
          <w:sz w:val="18"/>
          <w:szCs w:val="18"/>
        </w:rPr>
        <w:t xml:space="preserve"> </w:t>
      </w:r>
      <w:r>
        <w:rPr>
          <w:sz w:val="18"/>
          <w:szCs w:val="18"/>
        </w:rPr>
        <w:t>3</w:t>
      </w:r>
      <w:r w:rsidRPr="005D1383">
        <w:rPr>
          <w:sz w:val="18"/>
          <w:szCs w:val="18"/>
        </w:rPr>
        <w:t xml:space="preserve"> -</w:t>
      </w:r>
      <w:r w:rsidRPr="005D1383">
        <w:rPr>
          <w:sz w:val="18"/>
          <w:szCs w:val="18"/>
        </w:rPr>
        <w:tab/>
      </w:r>
      <w:r>
        <w:rPr>
          <w:sz w:val="18"/>
          <w:szCs w:val="18"/>
        </w:rPr>
        <w:t>Collected data with the breath simulator for different triggering spans</w:t>
      </w:r>
      <w:r w:rsidR="000D33FB">
        <w:rPr>
          <w:sz w:val="18"/>
          <w:szCs w:val="18"/>
        </w:rPr>
        <w:t>,</w:t>
      </w:r>
      <w:r>
        <w:rPr>
          <w:sz w:val="18"/>
          <w:szCs w:val="18"/>
        </w:rPr>
        <w:t xml:space="preserve"> using </w:t>
      </w:r>
      <w:r w:rsidR="000D33FB">
        <w:rPr>
          <w:sz w:val="18"/>
          <w:szCs w:val="18"/>
        </w:rPr>
        <w:t xml:space="preserve">the </w:t>
      </w:r>
      <w:r>
        <w:rPr>
          <w:sz w:val="18"/>
          <w:szCs w:val="18"/>
        </w:rPr>
        <w:t>3.7µm pore size</w:t>
      </w:r>
      <w:r w:rsidR="000D33FB">
        <w:rPr>
          <w:sz w:val="18"/>
          <w:szCs w:val="18"/>
        </w:rPr>
        <w:t xml:space="preserve"> mesh</w:t>
      </w:r>
      <w:r>
        <w:rPr>
          <w:sz w:val="18"/>
          <w:szCs w:val="18"/>
        </w:rPr>
        <w:t xml:space="preserve"> group</w:t>
      </w:r>
      <w:r w:rsidR="000D33FB">
        <w:rPr>
          <w:sz w:val="18"/>
          <w:szCs w:val="18"/>
        </w:rPr>
        <w:t xml:space="preserve"> and</w:t>
      </w:r>
      <w:r>
        <w:rPr>
          <w:sz w:val="18"/>
          <w:szCs w:val="18"/>
        </w:rPr>
        <w:t xml:space="preserve"> nebuli</w:t>
      </w:r>
      <w:r w:rsidR="000C3302">
        <w:rPr>
          <w:sz w:val="18"/>
          <w:szCs w:val="18"/>
        </w:rPr>
        <w:t>s</w:t>
      </w:r>
      <w:r>
        <w:rPr>
          <w:sz w:val="18"/>
          <w:szCs w:val="18"/>
        </w:rPr>
        <w:t>ing 0.1% albuterol (n=4, triplicates)</w:t>
      </w:r>
    </w:p>
    <w:tbl>
      <w:tblPr>
        <w:tblW w:w="8714" w:type="dxa"/>
        <w:jc w:val="center"/>
        <w:tblCellMar>
          <w:left w:w="0" w:type="dxa"/>
          <w:right w:w="0" w:type="dxa"/>
        </w:tblCellMar>
        <w:tblLook w:val="0600" w:firstRow="0" w:lastRow="0" w:firstColumn="0" w:lastColumn="0" w:noHBand="1" w:noVBand="1"/>
      </w:tblPr>
      <w:tblGrid>
        <w:gridCol w:w="1467"/>
        <w:gridCol w:w="1207"/>
        <w:gridCol w:w="1208"/>
        <w:gridCol w:w="1208"/>
        <w:gridCol w:w="1208"/>
        <w:gridCol w:w="1208"/>
        <w:gridCol w:w="1208"/>
      </w:tblGrid>
      <w:tr w:rsidR="002C28E7" w:rsidRPr="00F51FCE" w14:paraId="177AC50B" w14:textId="77777777" w:rsidTr="00E66D24">
        <w:trPr>
          <w:trHeight w:val="227"/>
          <w:jc w:val="center"/>
        </w:trPr>
        <w:tc>
          <w:tcPr>
            <w:tcW w:w="1467" w:type="dxa"/>
            <w:vMerge w:val="restart"/>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center"/>
            <w:hideMark/>
          </w:tcPr>
          <w:p w14:paraId="0BB7F7B6" w14:textId="3BC83FA5" w:rsidR="002C28E7" w:rsidRPr="006C3DE4" w:rsidRDefault="002C28E7" w:rsidP="00C84FBE">
            <w:pPr>
              <w:pStyle w:val="DDLBodyText"/>
              <w:snapToGrid w:val="0"/>
              <w:spacing w:after="0"/>
              <w:jc w:val="center"/>
              <w:rPr>
                <w:szCs w:val="18"/>
                <w:lang w:val="en-US"/>
              </w:rPr>
            </w:pPr>
            <w:r w:rsidRPr="00F51FCE">
              <w:rPr>
                <w:szCs w:val="18"/>
                <w:lang w:val="en-US"/>
              </w:rPr>
              <w:t>Key Tag</w:t>
            </w:r>
          </w:p>
        </w:tc>
        <w:tc>
          <w:tcPr>
            <w:tcW w:w="241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A6C155" w14:textId="77777777" w:rsidR="002C28E7" w:rsidRPr="006C3DE4" w:rsidRDefault="002C28E7" w:rsidP="00E66D24">
            <w:pPr>
              <w:pStyle w:val="DDLBodyText"/>
              <w:snapToGrid w:val="0"/>
              <w:spacing w:after="0"/>
              <w:jc w:val="center"/>
              <w:rPr>
                <w:szCs w:val="18"/>
              </w:rPr>
            </w:pPr>
            <w:r w:rsidRPr="00F51FCE">
              <w:rPr>
                <w:szCs w:val="18"/>
                <w:lang w:val="en-US"/>
              </w:rPr>
              <w:t>Treatment Time (mm:ss)</w:t>
            </w: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53A6E8" w14:textId="77777777" w:rsidR="002C28E7" w:rsidRPr="006C3DE4" w:rsidRDefault="002C28E7" w:rsidP="00E66D24">
            <w:pPr>
              <w:pStyle w:val="DDLBodyText"/>
              <w:snapToGrid w:val="0"/>
              <w:spacing w:after="0"/>
              <w:jc w:val="center"/>
              <w:rPr>
                <w:szCs w:val="18"/>
              </w:rPr>
            </w:pPr>
            <w:r w:rsidRPr="00F51FCE">
              <w:rPr>
                <w:szCs w:val="18"/>
                <w:lang w:val="en-US"/>
              </w:rPr>
              <w:t>Delivered Dose (%)</w:t>
            </w: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F36E1A2" w14:textId="77777777" w:rsidR="002C28E7" w:rsidRPr="006C3DE4" w:rsidRDefault="002C28E7" w:rsidP="00E66D24">
            <w:pPr>
              <w:pStyle w:val="DDLBodyText"/>
              <w:snapToGrid w:val="0"/>
              <w:spacing w:after="0"/>
              <w:jc w:val="center"/>
              <w:rPr>
                <w:szCs w:val="18"/>
              </w:rPr>
            </w:pPr>
            <w:r w:rsidRPr="00F51FCE">
              <w:rPr>
                <w:szCs w:val="18"/>
                <w:lang w:val="en-US"/>
              </w:rPr>
              <w:t>Delivery Rate (mg/min)</w:t>
            </w:r>
          </w:p>
        </w:tc>
      </w:tr>
      <w:tr w:rsidR="002C28E7" w:rsidRPr="00F51FCE" w14:paraId="0F833542" w14:textId="77777777" w:rsidTr="00E66D24">
        <w:trPr>
          <w:trHeight w:val="227"/>
          <w:jc w:val="center"/>
        </w:trPr>
        <w:tc>
          <w:tcPr>
            <w:tcW w:w="1467" w:type="dxa"/>
            <w:vMerge/>
            <w:tcBorders>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E5EB85" w14:textId="77777777" w:rsidR="002C28E7" w:rsidRPr="006C3DE4" w:rsidRDefault="002C28E7" w:rsidP="00E66D24">
            <w:pPr>
              <w:pStyle w:val="DDLBodyText"/>
              <w:snapToGrid w:val="0"/>
              <w:spacing w:after="0"/>
              <w:jc w:val="center"/>
              <w:rPr>
                <w:szCs w:val="18"/>
              </w:rPr>
            </w:pP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E8933D2" w14:textId="77777777" w:rsidR="002C28E7" w:rsidRPr="006C3DE4" w:rsidRDefault="002C28E7" w:rsidP="00E66D24">
            <w:pPr>
              <w:pStyle w:val="DDLBodyText"/>
              <w:snapToGrid w:val="0"/>
              <w:spacing w:after="0"/>
              <w:jc w:val="center"/>
              <w:rPr>
                <w:szCs w:val="18"/>
              </w:rPr>
            </w:pPr>
            <w:r w:rsidRPr="006C3DE4">
              <w:rPr>
                <w:szCs w:val="18"/>
                <w:lang w:val="en-US"/>
              </w:rPr>
              <w:t>Mean</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095C55A" w14:textId="77777777" w:rsidR="002C28E7" w:rsidRPr="006C3DE4" w:rsidRDefault="002C28E7" w:rsidP="00E66D24">
            <w:pPr>
              <w:pStyle w:val="DDLBodyText"/>
              <w:snapToGrid w:val="0"/>
              <w:spacing w:after="0"/>
              <w:jc w:val="center"/>
              <w:rPr>
                <w:szCs w:val="18"/>
              </w:rPr>
            </w:pPr>
            <w:r w:rsidRPr="006C3DE4">
              <w:rPr>
                <w:szCs w:val="18"/>
                <w:lang w:val="en-US"/>
              </w:rPr>
              <w:t>SD</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CC0BACD" w14:textId="77777777" w:rsidR="002C28E7" w:rsidRPr="006C3DE4" w:rsidRDefault="002C28E7" w:rsidP="00E66D24">
            <w:pPr>
              <w:pStyle w:val="DDLBodyText"/>
              <w:snapToGrid w:val="0"/>
              <w:spacing w:after="0"/>
              <w:jc w:val="center"/>
              <w:rPr>
                <w:szCs w:val="18"/>
              </w:rPr>
            </w:pPr>
            <w:r w:rsidRPr="006C3DE4">
              <w:rPr>
                <w:szCs w:val="18"/>
                <w:lang w:val="en-US"/>
              </w:rPr>
              <w:t>Mean</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8CB31A6" w14:textId="77777777" w:rsidR="002C28E7" w:rsidRPr="006C3DE4" w:rsidRDefault="002C28E7" w:rsidP="00E66D24">
            <w:pPr>
              <w:pStyle w:val="DDLBodyText"/>
              <w:snapToGrid w:val="0"/>
              <w:spacing w:after="0"/>
              <w:jc w:val="center"/>
              <w:rPr>
                <w:szCs w:val="18"/>
              </w:rPr>
            </w:pPr>
            <w:r w:rsidRPr="006C3DE4">
              <w:rPr>
                <w:szCs w:val="18"/>
                <w:lang w:val="en-US"/>
              </w:rPr>
              <w:t>SD</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63C8BB7" w14:textId="77777777" w:rsidR="002C28E7" w:rsidRPr="006C3DE4" w:rsidRDefault="002C28E7" w:rsidP="00E66D24">
            <w:pPr>
              <w:pStyle w:val="DDLBodyText"/>
              <w:snapToGrid w:val="0"/>
              <w:spacing w:after="0"/>
              <w:jc w:val="center"/>
              <w:rPr>
                <w:szCs w:val="18"/>
              </w:rPr>
            </w:pPr>
            <w:r w:rsidRPr="006C3DE4">
              <w:rPr>
                <w:szCs w:val="18"/>
                <w:lang w:val="en-US"/>
              </w:rPr>
              <w:t>Mean</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C8C039" w14:textId="77777777" w:rsidR="002C28E7" w:rsidRPr="006C3DE4" w:rsidRDefault="002C28E7" w:rsidP="00E66D24">
            <w:pPr>
              <w:pStyle w:val="DDLBodyText"/>
              <w:snapToGrid w:val="0"/>
              <w:spacing w:after="0"/>
              <w:jc w:val="center"/>
              <w:rPr>
                <w:szCs w:val="18"/>
              </w:rPr>
            </w:pPr>
            <w:r w:rsidRPr="006C3DE4">
              <w:rPr>
                <w:szCs w:val="18"/>
                <w:lang w:val="en-US"/>
              </w:rPr>
              <w:t>SD</w:t>
            </w:r>
          </w:p>
        </w:tc>
      </w:tr>
      <w:tr w:rsidR="002C28E7" w:rsidRPr="00F51FCE" w14:paraId="4E12673C" w14:textId="77777777" w:rsidTr="00E66D24">
        <w:trPr>
          <w:trHeight w:val="227"/>
          <w:jc w:val="center"/>
        </w:trPr>
        <w:tc>
          <w:tcPr>
            <w:tcW w:w="14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9EE3D8" w14:textId="34670E11" w:rsidR="002C28E7" w:rsidRPr="006C3DE4" w:rsidRDefault="002C28E7" w:rsidP="002C28E7">
            <w:pPr>
              <w:pStyle w:val="DDLBodyText"/>
              <w:snapToGrid w:val="0"/>
              <w:spacing w:after="0"/>
              <w:jc w:val="center"/>
              <w:rPr>
                <w:szCs w:val="18"/>
              </w:rPr>
            </w:pPr>
            <w:r w:rsidRPr="00F51FCE">
              <w:rPr>
                <w:szCs w:val="18"/>
              </w:rPr>
              <w:t>40%</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979827" w14:textId="49FB0082"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17:26</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3B50356" w14:textId="29C6C499"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01:39</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24DB4AF" w14:textId="1A3A40B8"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84.2</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19917E" w14:textId="0B00A53D" w:rsidR="002C28E7" w:rsidRPr="006C3DE4" w:rsidRDefault="004E3AC8" w:rsidP="002C28E7">
            <w:pPr>
              <w:pStyle w:val="DDLBodyText"/>
              <w:snapToGrid w:val="0"/>
              <w:spacing w:after="0"/>
              <w:jc w:val="center"/>
              <w:rPr>
                <w:rFonts w:cs="Arial"/>
                <w:szCs w:val="18"/>
              </w:rPr>
            </w:pPr>
            <w:r>
              <w:rPr>
                <w:rFonts w:eastAsia="PMingLiU" w:cs="Arial"/>
                <w:color w:val="000000"/>
                <w:kern w:val="24"/>
                <w:szCs w:val="18"/>
                <w:lang w:val="en-US"/>
              </w:rPr>
              <w:t>3.4</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1EF422D" w14:textId="03A8DD1D"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0.10</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CA830E" w14:textId="25B04BB8"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0.01</w:t>
            </w:r>
          </w:p>
        </w:tc>
      </w:tr>
      <w:tr w:rsidR="002C28E7" w:rsidRPr="00F51FCE" w14:paraId="4274DE15" w14:textId="77777777" w:rsidTr="00E66D24">
        <w:trPr>
          <w:trHeight w:val="227"/>
          <w:jc w:val="center"/>
        </w:trPr>
        <w:tc>
          <w:tcPr>
            <w:tcW w:w="14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0F36A6" w14:textId="28F6D9D0" w:rsidR="002C28E7" w:rsidRPr="006C3DE4" w:rsidRDefault="002C28E7" w:rsidP="002C28E7">
            <w:pPr>
              <w:pStyle w:val="DDLBodyText"/>
              <w:snapToGrid w:val="0"/>
              <w:spacing w:after="0"/>
              <w:jc w:val="center"/>
              <w:rPr>
                <w:szCs w:val="18"/>
              </w:rPr>
            </w:pPr>
            <w:r w:rsidRPr="00F51FCE">
              <w:rPr>
                <w:szCs w:val="18"/>
              </w:rPr>
              <w:t>60%</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9B04D94" w14:textId="5CC1DD6A"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11:31</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9D075A" w14:textId="129AD8EF"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01:20</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22FC057" w14:textId="6028BAA5"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81.9</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F2AFBC" w14:textId="12536CD2"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4.2</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4C88E0" w14:textId="00374B59"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0.14</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42BE174" w14:textId="775590DB"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0.01</w:t>
            </w:r>
          </w:p>
        </w:tc>
      </w:tr>
      <w:tr w:rsidR="002C28E7" w:rsidRPr="00F51FCE" w14:paraId="35ABE0EF" w14:textId="77777777" w:rsidTr="00E66D24">
        <w:trPr>
          <w:trHeight w:val="227"/>
          <w:jc w:val="center"/>
        </w:trPr>
        <w:tc>
          <w:tcPr>
            <w:tcW w:w="14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8789549" w14:textId="6C2AB599" w:rsidR="002C28E7" w:rsidRPr="006C3DE4" w:rsidRDefault="002C28E7" w:rsidP="002C28E7">
            <w:pPr>
              <w:pStyle w:val="DDLBodyText"/>
              <w:snapToGrid w:val="0"/>
              <w:spacing w:after="0"/>
              <w:jc w:val="center"/>
              <w:rPr>
                <w:szCs w:val="18"/>
              </w:rPr>
            </w:pPr>
            <w:r w:rsidRPr="00F51FCE">
              <w:rPr>
                <w:szCs w:val="18"/>
              </w:rPr>
              <w:t>80%</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03DA33" w14:textId="1CCA6AE6"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08:34</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FD6B7B5" w14:textId="1FAD3BF5"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00:57</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B528B25" w14:textId="158D34EB"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71.9</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8B0F5F7" w14:textId="0F679A44"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4.1</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7D8D14E" w14:textId="64525671"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0.17</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E28F9A" w14:textId="09CECFD7" w:rsidR="002C28E7" w:rsidRPr="006C3DE4" w:rsidRDefault="002C28E7" w:rsidP="002C28E7">
            <w:pPr>
              <w:pStyle w:val="DDLBodyText"/>
              <w:snapToGrid w:val="0"/>
              <w:spacing w:after="0"/>
              <w:jc w:val="center"/>
              <w:rPr>
                <w:rFonts w:cs="Arial"/>
                <w:szCs w:val="18"/>
              </w:rPr>
            </w:pPr>
            <w:r w:rsidRPr="00F51FCE">
              <w:rPr>
                <w:rFonts w:eastAsia="PMingLiU" w:cs="Arial"/>
                <w:color w:val="000000"/>
                <w:kern w:val="24"/>
                <w:szCs w:val="18"/>
                <w:lang w:val="en-US"/>
              </w:rPr>
              <w:t>0.0</w:t>
            </w:r>
            <w:r w:rsidR="00E9059D">
              <w:rPr>
                <w:rFonts w:eastAsia="PMingLiU" w:cs="Arial"/>
                <w:color w:val="000000"/>
                <w:kern w:val="24"/>
                <w:szCs w:val="18"/>
                <w:lang w:val="en-US"/>
              </w:rPr>
              <w:t>1</w:t>
            </w:r>
          </w:p>
        </w:tc>
      </w:tr>
    </w:tbl>
    <w:p w14:paraId="37F23255" w14:textId="3103787F" w:rsidR="00EA378F" w:rsidRDefault="00EA378F" w:rsidP="00EA378F">
      <w:pPr>
        <w:pStyle w:val="DDLHeading1"/>
        <w:spacing w:after="0"/>
        <w:rPr>
          <w:sz w:val="20"/>
          <w:szCs w:val="20"/>
        </w:rPr>
      </w:pPr>
      <w:r w:rsidRPr="00EA378F">
        <w:rPr>
          <w:sz w:val="20"/>
          <w:szCs w:val="20"/>
        </w:rPr>
        <w:t>A.</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B.</w:t>
      </w:r>
    </w:p>
    <w:p w14:paraId="7764694F" w14:textId="4FA99627" w:rsidR="001B082E" w:rsidRDefault="00E81711" w:rsidP="00EA378F">
      <w:pPr>
        <w:pStyle w:val="DDLHeading1"/>
        <w:spacing w:before="0"/>
        <w:rPr>
          <w:sz w:val="20"/>
          <w:szCs w:val="20"/>
        </w:rPr>
      </w:pPr>
      <w:r w:rsidRPr="00ED6D1F">
        <w:rPr>
          <w:noProof/>
          <w:sz w:val="11"/>
          <w:szCs w:val="21"/>
        </w:rPr>
        <w:drawing>
          <wp:inline distT="0" distB="0" distL="0" distR="0" wp14:anchorId="6E44842A" wp14:editId="74D64523">
            <wp:extent cx="2774950" cy="2279561"/>
            <wp:effectExtent l="0" t="0" r="6350" b="6985"/>
            <wp:docPr id="1" name="Chart 1">
              <a:extLst xmlns:a="http://schemas.openxmlformats.org/drawingml/2006/main">
                <a:ext uri="{FF2B5EF4-FFF2-40B4-BE49-F238E27FC236}">
                  <a16:creationId xmlns:a16="http://schemas.microsoft.com/office/drawing/2014/main" id="{7EEBC24A-DF6F-AE9B-1D4B-9B9F1C6D44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sz w:val="20"/>
          <w:szCs w:val="20"/>
        </w:rPr>
        <w:t xml:space="preserve">   </w:t>
      </w:r>
      <w:r w:rsidR="001B082E" w:rsidRPr="00ED6D1F">
        <w:rPr>
          <w:noProof/>
          <w:sz w:val="16"/>
          <w:szCs w:val="28"/>
        </w:rPr>
        <w:drawing>
          <wp:inline distT="0" distB="0" distL="0" distR="0" wp14:anchorId="264886AC" wp14:editId="1B7CCB6D">
            <wp:extent cx="2807335" cy="2279561"/>
            <wp:effectExtent l="0" t="0" r="12065" b="6985"/>
            <wp:docPr id="2" name="Chart 2">
              <a:extLst xmlns:a="http://schemas.openxmlformats.org/drawingml/2006/main">
                <a:ext uri="{FF2B5EF4-FFF2-40B4-BE49-F238E27FC236}">
                  <a16:creationId xmlns:a16="http://schemas.microsoft.com/office/drawing/2014/main" id="{FB2A8521-5E3C-D448-8411-A0AFCC6922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801478E" w14:textId="4513B6C4" w:rsidR="00E81711" w:rsidRPr="001B082E" w:rsidRDefault="001B082E" w:rsidP="00A35D52">
      <w:pPr>
        <w:pStyle w:val="DDLBodyText"/>
        <w:snapToGrid w:val="0"/>
        <w:spacing w:after="0"/>
        <w:rPr>
          <w:b/>
          <w:bCs/>
          <w:szCs w:val="18"/>
        </w:rPr>
      </w:pPr>
      <w:r w:rsidRPr="001B082E">
        <w:rPr>
          <w:b/>
          <w:bCs/>
          <w:szCs w:val="18"/>
        </w:rPr>
        <w:t>Figure</w:t>
      </w:r>
      <w:r>
        <w:rPr>
          <w:b/>
          <w:bCs/>
          <w:szCs w:val="18"/>
        </w:rPr>
        <w:t xml:space="preserve"> </w:t>
      </w:r>
      <w:r w:rsidR="00E81711">
        <w:rPr>
          <w:b/>
          <w:bCs/>
          <w:szCs w:val="18"/>
        </w:rPr>
        <w:t>3</w:t>
      </w:r>
      <w:r>
        <w:rPr>
          <w:b/>
          <w:bCs/>
          <w:szCs w:val="18"/>
        </w:rPr>
        <w:t xml:space="preserve"> </w:t>
      </w:r>
      <w:r w:rsidR="00E81711">
        <w:rPr>
          <w:b/>
          <w:bCs/>
          <w:szCs w:val="18"/>
        </w:rPr>
        <w:t>– (</w:t>
      </w:r>
      <w:r w:rsidR="00EA378F">
        <w:rPr>
          <w:b/>
          <w:bCs/>
          <w:szCs w:val="18"/>
        </w:rPr>
        <w:t>A</w:t>
      </w:r>
      <w:r w:rsidR="00E81711">
        <w:rPr>
          <w:b/>
          <w:bCs/>
          <w:szCs w:val="18"/>
        </w:rPr>
        <w:t>) Delivery rate and respirable dose for different pore size groups with a triggering span of 60%</w:t>
      </w:r>
      <w:r w:rsidR="00EA378F">
        <w:rPr>
          <w:b/>
          <w:bCs/>
          <w:szCs w:val="18"/>
        </w:rPr>
        <w:t>;</w:t>
      </w:r>
    </w:p>
    <w:p w14:paraId="24561537" w14:textId="6B91F8F4" w:rsidR="001B082E" w:rsidRPr="001B082E" w:rsidRDefault="00E81711" w:rsidP="00A35D52">
      <w:pPr>
        <w:pStyle w:val="DDLBodyText"/>
        <w:snapToGrid w:val="0"/>
        <w:spacing w:after="0"/>
        <w:rPr>
          <w:b/>
          <w:bCs/>
          <w:szCs w:val="18"/>
        </w:rPr>
      </w:pPr>
      <w:r>
        <w:rPr>
          <w:b/>
          <w:bCs/>
          <w:szCs w:val="18"/>
        </w:rPr>
        <w:t>(</w:t>
      </w:r>
      <w:r w:rsidR="00EA378F">
        <w:rPr>
          <w:b/>
          <w:bCs/>
          <w:szCs w:val="18"/>
        </w:rPr>
        <w:t>B</w:t>
      </w:r>
      <w:r>
        <w:rPr>
          <w:b/>
          <w:bCs/>
          <w:szCs w:val="18"/>
        </w:rPr>
        <w:t xml:space="preserve">) </w:t>
      </w:r>
      <w:r w:rsidR="001B082E">
        <w:rPr>
          <w:b/>
          <w:bCs/>
          <w:szCs w:val="18"/>
        </w:rPr>
        <w:t>Delivery dose and delivery rate using 3.7 µm pore size meshes with different triggering spans</w:t>
      </w:r>
    </w:p>
    <w:p w14:paraId="731D2368" w14:textId="51682B68" w:rsidR="00C84FBE" w:rsidRPr="00582113" w:rsidRDefault="00C84FBE" w:rsidP="00C84FBE">
      <w:pPr>
        <w:pStyle w:val="DDLHeading1"/>
        <w:rPr>
          <w:sz w:val="20"/>
          <w:szCs w:val="20"/>
        </w:rPr>
      </w:pPr>
      <w:r>
        <w:rPr>
          <w:sz w:val="20"/>
          <w:szCs w:val="20"/>
        </w:rPr>
        <w:lastRenderedPageBreak/>
        <w:t>Discussion</w:t>
      </w:r>
    </w:p>
    <w:p w14:paraId="4B591735" w14:textId="476571FF" w:rsidR="00C84FBE" w:rsidRDefault="000C3302" w:rsidP="00C84FBE">
      <w:pPr>
        <w:pStyle w:val="DDLBodyText"/>
        <w:rPr>
          <w:sz w:val="20"/>
        </w:rPr>
      </w:pPr>
      <w:r>
        <w:rPr>
          <w:sz w:val="20"/>
        </w:rPr>
        <w:t>Customisation</w:t>
      </w:r>
      <w:r w:rsidR="000D33FB">
        <w:rPr>
          <w:sz w:val="20"/>
        </w:rPr>
        <w:t xml:space="preserve"> of a </w:t>
      </w:r>
      <w:r>
        <w:rPr>
          <w:sz w:val="20"/>
        </w:rPr>
        <w:t>nebuliser</w:t>
      </w:r>
      <w:r w:rsidR="000D33FB">
        <w:rPr>
          <w:sz w:val="20"/>
        </w:rPr>
        <w:t xml:space="preserve"> system can be made at hardware and software levels. For a mesh nebuliser’s membrane, t</w:t>
      </w:r>
      <w:r w:rsidR="008F400F">
        <w:rPr>
          <w:sz w:val="20"/>
        </w:rPr>
        <w:t xml:space="preserve">here are several aspects that govern </w:t>
      </w:r>
      <w:r w:rsidR="000D33FB">
        <w:rPr>
          <w:sz w:val="20"/>
        </w:rPr>
        <w:t>its</w:t>
      </w:r>
      <w:r w:rsidR="008F400F">
        <w:rPr>
          <w:sz w:val="20"/>
        </w:rPr>
        <w:t xml:space="preserve"> configuration, </w:t>
      </w:r>
      <w:r w:rsidR="000D33FB">
        <w:rPr>
          <w:sz w:val="20"/>
        </w:rPr>
        <w:t xml:space="preserve">with </w:t>
      </w:r>
      <w:r w:rsidR="008F400F">
        <w:rPr>
          <w:sz w:val="20"/>
        </w:rPr>
        <w:t xml:space="preserve">material, pore shape, thickness, pitch, and pore size, being among the most </w:t>
      </w:r>
      <w:r w:rsidR="00765FB0">
        <w:rPr>
          <w:sz w:val="20"/>
        </w:rPr>
        <w:t>commonly stated</w:t>
      </w:r>
      <w:r w:rsidR="008F400F">
        <w:rPr>
          <w:sz w:val="20"/>
        </w:rPr>
        <w:t xml:space="preserve">. In this study, </w:t>
      </w:r>
      <w:r w:rsidR="00765FB0">
        <w:rPr>
          <w:sz w:val="20"/>
        </w:rPr>
        <w:t xml:space="preserve">the influence of </w:t>
      </w:r>
      <w:r w:rsidR="000D33FB">
        <w:rPr>
          <w:sz w:val="20"/>
        </w:rPr>
        <w:t xml:space="preserve">mesh </w:t>
      </w:r>
      <w:r w:rsidR="00765FB0">
        <w:rPr>
          <w:sz w:val="20"/>
        </w:rPr>
        <w:t>pore size on droplet size distribution and delivery rate</w:t>
      </w:r>
      <w:r w:rsidR="008F400F">
        <w:rPr>
          <w:sz w:val="20"/>
        </w:rPr>
        <w:t xml:space="preserve"> was demonstrate</w:t>
      </w:r>
      <w:r w:rsidR="00765FB0">
        <w:rPr>
          <w:sz w:val="20"/>
        </w:rPr>
        <w:t>d. An increase in droplet size can be directly attributed to the increase in pore size as the orifice</w:t>
      </w:r>
      <w:r w:rsidR="000D33FB">
        <w:rPr>
          <w:sz w:val="20"/>
        </w:rPr>
        <w:t>s</w:t>
      </w:r>
      <w:r w:rsidR="005E4C9C">
        <w:rPr>
          <w:sz w:val="20"/>
        </w:rPr>
        <w:t xml:space="preserve"> for liquid to pass through the mesh membrane to generate aerosol enlarge. At the same time, the effect can also be reflected in the treatment time, where larger openings allow for more aerosol release</w:t>
      </w:r>
      <w:r w:rsidR="000D33FB">
        <w:rPr>
          <w:sz w:val="20"/>
        </w:rPr>
        <w:t xml:space="preserve"> at a single unit time,</w:t>
      </w:r>
      <w:r w:rsidR="005E4C9C">
        <w:rPr>
          <w:sz w:val="20"/>
        </w:rPr>
        <w:t xml:space="preserve"> reducing the overall treatment </w:t>
      </w:r>
      <w:r w:rsidR="000D33FB">
        <w:rPr>
          <w:sz w:val="20"/>
        </w:rPr>
        <w:t>duration</w:t>
      </w:r>
      <w:r w:rsidR="005E4C9C">
        <w:rPr>
          <w:sz w:val="20"/>
        </w:rPr>
        <w:t>, while modestly increasing the delivery rate as the delivered dose is lightly affected by the difference in pore size.</w:t>
      </w:r>
    </w:p>
    <w:p w14:paraId="7F051CA5" w14:textId="3202EE79" w:rsidR="005E4C9C" w:rsidRDefault="000D33FB" w:rsidP="00C84FBE">
      <w:pPr>
        <w:pStyle w:val="DDLBodyText"/>
        <w:rPr>
          <w:sz w:val="20"/>
        </w:rPr>
      </w:pPr>
      <w:r>
        <w:rPr>
          <w:sz w:val="20"/>
        </w:rPr>
        <w:t xml:space="preserve">The second factor covered in this study addressed firmware modifications for the breath-actuated platform. </w:t>
      </w:r>
      <w:r w:rsidR="005E4C9C">
        <w:rPr>
          <w:sz w:val="20"/>
        </w:rPr>
        <w:t xml:space="preserve">Breath-actuated </w:t>
      </w:r>
      <w:r w:rsidR="000C3302">
        <w:rPr>
          <w:sz w:val="20"/>
        </w:rPr>
        <w:t>nebuliser</w:t>
      </w:r>
      <w:r w:rsidR="005E4C9C">
        <w:rPr>
          <w:sz w:val="20"/>
        </w:rPr>
        <w:t xml:space="preserve">s </w:t>
      </w:r>
      <w:r w:rsidR="008E2449">
        <w:rPr>
          <w:sz w:val="20"/>
        </w:rPr>
        <w:t>have been reported to enhance drug delivery and reduce fugitive aerosol emission, generating aerosol only during a specific fraction of the inhalation phase</w:t>
      </w:r>
      <w:r>
        <w:rPr>
          <w:sz w:val="20"/>
        </w:rPr>
        <w:t xml:space="preserve"> [</w:t>
      </w:r>
      <w:r w:rsidR="00B63C3C">
        <w:rPr>
          <w:sz w:val="20"/>
        </w:rPr>
        <w:t>5</w:t>
      </w:r>
      <w:r>
        <w:rPr>
          <w:sz w:val="20"/>
        </w:rPr>
        <w:t>]</w:t>
      </w:r>
      <w:r w:rsidR="008E2449">
        <w:rPr>
          <w:sz w:val="20"/>
        </w:rPr>
        <w:t xml:space="preserve">. </w:t>
      </w:r>
      <w:r w:rsidR="00E30D26">
        <w:rPr>
          <w:sz w:val="20"/>
        </w:rPr>
        <w:t>The triggering span at each inhalation affect</w:t>
      </w:r>
      <w:r>
        <w:rPr>
          <w:sz w:val="20"/>
        </w:rPr>
        <w:t>s</w:t>
      </w:r>
      <w:r w:rsidR="00E30D26">
        <w:rPr>
          <w:sz w:val="20"/>
        </w:rPr>
        <w:t xml:space="preserve"> delivery efficiency aspects, resulting in </w:t>
      </w:r>
      <w:r w:rsidR="008C371B">
        <w:rPr>
          <w:sz w:val="20"/>
        </w:rPr>
        <w:t xml:space="preserve">variations </w:t>
      </w:r>
      <w:r w:rsidR="00F514AE">
        <w:rPr>
          <w:sz w:val="20"/>
        </w:rPr>
        <w:t>of</w:t>
      </w:r>
      <w:r w:rsidR="008C371B">
        <w:rPr>
          <w:sz w:val="20"/>
        </w:rPr>
        <w:t xml:space="preserve"> treatment time and efficiency.</w:t>
      </w:r>
      <w:r w:rsidR="00F514AE">
        <w:rPr>
          <w:sz w:val="20"/>
        </w:rPr>
        <w:t xml:space="preserve"> </w:t>
      </w:r>
      <w:r w:rsidR="008C371B">
        <w:rPr>
          <w:sz w:val="20"/>
        </w:rPr>
        <w:t xml:space="preserve">Based on the results, within approximately a 3-minute treatment time difference, the 60% triggering span delivered 10% higher dose than the 80% span, although the latter one had a higher delivery rate. </w:t>
      </w:r>
      <w:r w:rsidR="00F51FCE">
        <w:rPr>
          <w:sz w:val="20"/>
        </w:rPr>
        <w:t>Moreover, a much higher delivered dose was achieved with the 40% triggering span but at the cost of considerably extending the treatment time.</w:t>
      </w:r>
      <w:r w:rsidR="002E30EC">
        <w:rPr>
          <w:sz w:val="20"/>
        </w:rPr>
        <w:t xml:space="preserve"> By defining the requirements and performance parameter priorities, it is possible to identify and select a </w:t>
      </w:r>
      <w:r w:rsidR="00AA324D">
        <w:rPr>
          <w:sz w:val="20"/>
        </w:rPr>
        <w:t>combination</w:t>
      </w:r>
      <w:r w:rsidR="002E30EC">
        <w:rPr>
          <w:sz w:val="20"/>
        </w:rPr>
        <w:t xml:space="preserve"> that better suits the </w:t>
      </w:r>
      <w:r w:rsidR="00AA324D">
        <w:rPr>
          <w:sz w:val="20"/>
        </w:rPr>
        <w:t>expectations of the</w:t>
      </w:r>
      <w:r w:rsidR="002E30EC">
        <w:rPr>
          <w:sz w:val="20"/>
        </w:rPr>
        <w:t xml:space="preserve"> drug-</w:t>
      </w:r>
      <w:r w:rsidR="000C3302">
        <w:rPr>
          <w:sz w:val="20"/>
        </w:rPr>
        <w:t>nebuliser</w:t>
      </w:r>
      <w:r w:rsidR="002E30EC">
        <w:rPr>
          <w:sz w:val="20"/>
        </w:rPr>
        <w:t xml:space="preserve"> system.</w:t>
      </w:r>
      <w:r w:rsidR="00AA324D">
        <w:rPr>
          <w:sz w:val="20"/>
        </w:rPr>
        <w:t xml:space="preserve"> This strategy does not only generate a useful pool of data sets demonstrating the performance for each configuration, but also benefit the early development of the combination product.</w:t>
      </w:r>
    </w:p>
    <w:p w14:paraId="2175F3ED" w14:textId="1ABA9424" w:rsidR="00F51FCE" w:rsidRPr="00582113" w:rsidRDefault="00F51FCE" w:rsidP="00F51FCE">
      <w:pPr>
        <w:pStyle w:val="DDLHeading1"/>
        <w:rPr>
          <w:sz w:val="20"/>
          <w:szCs w:val="20"/>
        </w:rPr>
      </w:pPr>
      <w:r>
        <w:rPr>
          <w:sz w:val="20"/>
          <w:szCs w:val="20"/>
        </w:rPr>
        <w:t>Conclusion</w:t>
      </w:r>
    </w:p>
    <w:p w14:paraId="4A6869D7" w14:textId="1EE6FF33" w:rsidR="00F51FCE" w:rsidRDefault="00C315EA" w:rsidP="00F51FCE">
      <w:pPr>
        <w:pStyle w:val="DDLBodyText"/>
        <w:rPr>
          <w:sz w:val="20"/>
        </w:rPr>
      </w:pPr>
      <w:r>
        <w:rPr>
          <w:sz w:val="20"/>
        </w:rPr>
        <w:t xml:space="preserve">The interaction between </w:t>
      </w:r>
      <w:r w:rsidR="00287EBD">
        <w:rPr>
          <w:sz w:val="20"/>
        </w:rPr>
        <w:t>formulation</w:t>
      </w:r>
      <w:r w:rsidR="00AA324D">
        <w:rPr>
          <w:sz w:val="20"/>
        </w:rPr>
        <w:t>s</w:t>
      </w:r>
      <w:r w:rsidR="00287EBD">
        <w:rPr>
          <w:sz w:val="20"/>
        </w:rPr>
        <w:t xml:space="preserve"> and drug delivery system</w:t>
      </w:r>
      <w:r w:rsidR="00AA324D">
        <w:rPr>
          <w:sz w:val="20"/>
        </w:rPr>
        <w:t>s</w:t>
      </w:r>
      <w:r w:rsidR="00287EBD">
        <w:rPr>
          <w:sz w:val="20"/>
        </w:rPr>
        <w:t xml:space="preserve"> can lead to</w:t>
      </w:r>
      <w:r w:rsidR="00AA324D">
        <w:rPr>
          <w:sz w:val="20"/>
        </w:rPr>
        <w:t xml:space="preserve"> a</w:t>
      </w:r>
      <w:r w:rsidR="00287EBD">
        <w:rPr>
          <w:sz w:val="20"/>
        </w:rPr>
        <w:t xml:space="preserve"> broad </w:t>
      </w:r>
      <w:r w:rsidR="00AA324D">
        <w:rPr>
          <w:sz w:val="20"/>
        </w:rPr>
        <w:t>number</w:t>
      </w:r>
      <w:r w:rsidR="00287EBD">
        <w:rPr>
          <w:sz w:val="20"/>
        </w:rPr>
        <w:t xml:space="preserve"> of outcomes. </w:t>
      </w:r>
      <w:r w:rsidR="00AA324D">
        <w:rPr>
          <w:sz w:val="20"/>
        </w:rPr>
        <w:t>Nonetheless</w:t>
      </w:r>
      <w:r w:rsidR="00287EBD">
        <w:rPr>
          <w:sz w:val="20"/>
        </w:rPr>
        <w:t xml:space="preserve">, counting with a range of </w:t>
      </w:r>
      <w:r w:rsidR="000C3302">
        <w:rPr>
          <w:sz w:val="20"/>
        </w:rPr>
        <w:t>customisable</w:t>
      </w:r>
      <w:r w:rsidR="00287EBD">
        <w:rPr>
          <w:sz w:val="20"/>
        </w:rPr>
        <w:t xml:space="preserve"> approaches within a</w:t>
      </w:r>
      <w:r w:rsidR="00452C48">
        <w:rPr>
          <w:sz w:val="20"/>
        </w:rPr>
        <w:t xml:space="preserve"> single</w:t>
      </w:r>
      <w:r w:rsidR="00287EBD">
        <w:rPr>
          <w:sz w:val="20"/>
        </w:rPr>
        <w:t xml:space="preserve"> platform</w:t>
      </w:r>
      <w:r w:rsidR="00452C48">
        <w:rPr>
          <w:sz w:val="20"/>
        </w:rPr>
        <w:t xml:space="preserve">, such as a </w:t>
      </w:r>
      <w:r w:rsidR="000C3302">
        <w:rPr>
          <w:sz w:val="20"/>
        </w:rPr>
        <w:t>nebuliser</w:t>
      </w:r>
      <w:r w:rsidR="00452C48">
        <w:rPr>
          <w:sz w:val="20"/>
        </w:rPr>
        <w:t>,</w:t>
      </w:r>
      <w:r w:rsidR="00287EBD">
        <w:rPr>
          <w:sz w:val="20"/>
        </w:rPr>
        <w:t xml:space="preserve"> to deliver a formulation allow</w:t>
      </w:r>
      <w:r w:rsidR="00452C48">
        <w:rPr>
          <w:sz w:val="20"/>
        </w:rPr>
        <w:t>s</w:t>
      </w:r>
      <w:r w:rsidR="00287EBD">
        <w:rPr>
          <w:sz w:val="20"/>
        </w:rPr>
        <w:t xml:space="preserve"> to identify the most suitable drug-</w:t>
      </w:r>
      <w:r w:rsidR="000C3302">
        <w:rPr>
          <w:sz w:val="20"/>
        </w:rPr>
        <w:t>nebuliser</w:t>
      </w:r>
      <w:r w:rsidR="00287EBD">
        <w:rPr>
          <w:sz w:val="20"/>
        </w:rPr>
        <w:t xml:space="preserve"> combination </w:t>
      </w:r>
      <w:r w:rsidR="00452C48">
        <w:rPr>
          <w:sz w:val="20"/>
        </w:rPr>
        <w:t>pair</w:t>
      </w:r>
      <w:r w:rsidR="00AA324D">
        <w:rPr>
          <w:sz w:val="20"/>
        </w:rPr>
        <w:t xml:space="preserve"> within the specified target requirements</w:t>
      </w:r>
      <w:r w:rsidR="00287EBD">
        <w:rPr>
          <w:sz w:val="20"/>
        </w:rPr>
        <w:t xml:space="preserve">. </w:t>
      </w:r>
      <w:r w:rsidR="00452C48">
        <w:rPr>
          <w:sz w:val="20"/>
        </w:rPr>
        <w:t>Moreover, b</w:t>
      </w:r>
      <w:r w:rsidR="00287EBD">
        <w:rPr>
          <w:sz w:val="20"/>
        </w:rPr>
        <w:t>y conducting feasibility and exploratory tests with mesh components and firmware configuration, it is possible to create a matrix that allow</w:t>
      </w:r>
      <w:r w:rsidR="00452C48">
        <w:rPr>
          <w:sz w:val="20"/>
        </w:rPr>
        <w:t>s</w:t>
      </w:r>
      <w:r w:rsidR="00287EBD">
        <w:rPr>
          <w:sz w:val="20"/>
        </w:rPr>
        <w:t xml:space="preserve"> the </w:t>
      </w:r>
      <w:r w:rsidR="00452C48">
        <w:rPr>
          <w:sz w:val="20"/>
        </w:rPr>
        <w:t>selection of a fine-tuned combination system.</w:t>
      </w:r>
    </w:p>
    <w:p w14:paraId="566B72BA" w14:textId="28655502" w:rsidR="00C84FBE" w:rsidRDefault="00452C48" w:rsidP="00A0358B">
      <w:pPr>
        <w:pStyle w:val="DDLBodyText"/>
        <w:rPr>
          <w:sz w:val="20"/>
        </w:rPr>
      </w:pPr>
      <w:r>
        <w:rPr>
          <w:sz w:val="20"/>
        </w:rPr>
        <w:t>For the development of highly efficient drug-</w:t>
      </w:r>
      <w:r w:rsidR="000C3302">
        <w:rPr>
          <w:sz w:val="20"/>
        </w:rPr>
        <w:t>nebuliser</w:t>
      </w:r>
      <w:r>
        <w:rPr>
          <w:sz w:val="20"/>
        </w:rPr>
        <w:t xml:space="preserve"> combination products, </w:t>
      </w:r>
      <w:r w:rsidR="004562D6">
        <w:rPr>
          <w:sz w:val="20"/>
        </w:rPr>
        <w:t xml:space="preserve">defining performance requirements is a common practice that can be fulfilled by </w:t>
      </w:r>
      <w:r w:rsidR="000C3302">
        <w:rPr>
          <w:sz w:val="20"/>
        </w:rPr>
        <w:t>recognis</w:t>
      </w:r>
      <w:r w:rsidR="004562D6">
        <w:rPr>
          <w:sz w:val="20"/>
        </w:rPr>
        <w:t>ing the propriate configuration of the system. Although this study focused on commonly delivered solution</w:t>
      </w:r>
      <w:r w:rsidR="006438B6">
        <w:rPr>
          <w:sz w:val="20"/>
        </w:rPr>
        <w:t>s</w:t>
      </w:r>
      <w:r w:rsidR="004562D6">
        <w:rPr>
          <w:sz w:val="20"/>
        </w:rPr>
        <w:t>, its scope can</w:t>
      </w:r>
      <w:r w:rsidR="00AA324D">
        <w:rPr>
          <w:sz w:val="20"/>
        </w:rPr>
        <w:t xml:space="preserve"> also</w:t>
      </w:r>
      <w:r w:rsidR="004562D6">
        <w:rPr>
          <w:sz w:val="20"/>
        </w:rPr>
        <w:t xml:space="preserve"> be referenced to difficult-to-deliver formulations that may include higher levels of viscosity or sensitive</w:t>
      </w:r>
      <w:r w:rsidR="009152F9">
        <w:rPr>
          <w:sz w:val="20"/>
        </w:rPr>
        <w:t xml:space="preserve"> molecules, which could require even more highly selective tuning.</w:t>
      </w:r>
      <w:r w:rsidR="006438B6">
        <w:rPr>
          <w:sz w:val="20"/>
        </w:rPr>
        <w:t xml:space="preserve"> Furthermore, formulation selection and adjustments can also be considered at the development stage to add to</w:t>
      </w:r>
      <w:r w:rsidR="009152F9">
        <w:rPr>
          <w:sz w:val="20"/>
        </w:rPr>
        <w:t xml:space="preserve"> </w:t>
      </w:r>
      <w:r w:rsidR="000F47AF">
        <w:rPr>
          <w:sz w:val="20"/>
        </w:rPr>
        <w:t xml:space="preserve">the </w:t>
      </w:r>
      <w:r w:rsidR="009152F9">
        <w:rPr>
          <w:sz w:val="20"/>
        </w:rPr>
        <w:t xml:space="preserve">flexibility </w:t>
      </w:r>
      <w:r w:rsidR="000F47AF">
        <w:rPr>
          <w:sz w:val="20"/>
        </w:rPr>
        <w:t>in</w:t>
      </w:r>
      <w:r w:rsidR="009152F9">
        <w:rPr>
          <w:sz w:val="20"/>
        </w:rPr>
        <w:t xml:space="preserve"> </w:t>
      </w:r>
      <w:r w:rsidR="000C3302">
        <w:rPr>
          <w:sz w:val="20"/>
        </w:rPr>
        <w:t>customisation</w:t>
      </w:r>
      <w:r w:rsidR="006438B6">
        <w:rPr>
          <w:sz w:val="20"/>
        </w:rPr>
        <w:t xml:space="preserve"> of the delivery system in</w:t>
      </w:r>
      <w:r w:rsidR="009152F9">
        <w:rPr>
          <w:sz w:val="20"/>
        </w:rPr>
        <w:t xml:space="preserve"> new </w:t>
      </w:r>
      <w:r w:rsidR="006438B6">
        <w:rPr>
          <w:sz w:val="20"/>
        </w:rPr>
        <w:t>drug-</w:t>
      </w:r>
      <w:r w:rsidR="000C3302">
        <w:rPr>
          <w:sz w:val="20"/>
        </w:rPr>
        <w:t>nebuliser</w:t>
      </w:r>
      <w:r w:rsidR="006438B6">
        <w:rPr>
          <w:sz w:val="20"/>
        </w:rPr>
        <w:t xml:space="preserve"> </w:t>
      </w:r>
      <w:r w:rsidR="009152F9">
        <w:rPr>
          <w:sz w:val="20"/>
        </w:rPr>
        <w:t>combination product</w:t>
      </w:r>
      <w:r w:rsidR="006438B6">
        <w:rPr>
          <w:sz w:val="20"/>
        </w:rPr>
        <w:t>s</w:t>
      </w:r>
      <w:r w:rsidR="009152F9">
        <w:rPr>
          <w:sz w:val="20"/>
        </w:rPr>
        <w:t>.</w:t>
      </w:r>
    </w:p>
    <w:p w14:paraId="57DCC0FB" w14:textId="540DE854" w:rsidR="007D307A" w:rsidRDefault="007D307A" w:rsidP="00D156FE">
      <w:pPr>
        <w:pStyle w:val="DDLHeading1"/>
      </w:pPr>
      <w:r w:rsidRPr="00BD68AD">
        <w:t>References</w:t>
      </w:r>
    </w:p>
    <w:p w14:paraId="3496BA3B" w14:textId="4B23725F" w:rsidR="00322255" w:rsidRPr="00AA1769" w:rsidRDefault="00322255" w:rsidP="00322255">
      <w:pPr>
        <w:pStyle w:val="DDLBodyText"/>
        <w:numPr>
          <w:ilvl w:val="0"/>
          <w:numId w:val="6"/>
        </w:numPr>
        <w:rPr>
          <w:sz w:val="16"/>
          <w:szCs w:val="16"/>
        </w:rPr>
      </w:pPr>
      <w:r w:rsidRPr="00AA1769">
        <w:rPr>
          <w:sz w:val="16"/>
          <w:szCs w:val="16"/>
        </w:rPr>
        <w:t>Borghardt J M, Kloft C, Sharma A</w:t>
      </w:r>
      <w:r w:rsidR="0093701C">
        <w:rPr>
          <w:sz w:val="16"/>
          <w:szCs w:val="16"/>
        </w:rPr>
        <w:t xml:space="preserve">: </w:t>
      </w:r>
      <w:r w:rsidRPr="00AA1769">
        <w:rPr>
          <w:sz w:val="16"/>
          <w:szCs w:val="16"/>
        </w:rPr>
        <w:t>Inhaled Therapy in Respiratory Disease: The Complex Interplay of Pulmonary Kinetic Processes</w:t>
      </w:r>
      <w:r w:rsidR="0093701C">
        <w:rPr>
          <w:sz w:val="16"/>
          <w:szCs w:val="16"/>
        </w:rPr>
        <w:t>,</w:t>
      </w:r>
      <w:r w:rsidRPr="00AA1769">
        <w:rPr>
          <w:sz w:val="16"/>
          <w:szCs w:val="16"/>
        </w:rPr>
        <w:t xml:space="preserve"> Can </w:t>
      </w:r>
      <w:r w:rsidR="0093701C">
        <w:rPr>
          <w:sz w:val="16"/>
          <w:szCs w:val="16"/>
        </w:rPr>
        <w:t>R</w:t>
      </w:r>
      <w:r w:rsidRPr="00AA1769">
        <w:rPr>
          <w:sz w:val="16"/>
          <w:szCs w:val="16"/>
        </w:rPr>
        <w:t xml:space="preserve">espir </w:t>
      </w:r>
      <w:r w:rsidR="0093701C">
        <w:rPr>
          <w:sz w:val="16"/>
          <w:szCs w:val="16"/>
        </w:rPr>
        <w:t>J</w:t>
      </w:r>
      <w:r w:rsidRPr="00AA1769">
        <w:rPr>
          <w:sz w:val="16"/>
          <w:szCs w:val="16"/>
        </w:rPr>
        <w:t xml:space="preserve"> 2018</w:t>
      </w:r>
      <w:r w:rsidR="0093701C">
        <w:rPr>
          <w:sz w:val="16"/>
          <w:szCs w:val="16"/>
        </w:rPr>
        <w:t>;</w:t>
      </w:r>
      <w:r w:rsidRPr="00AA1769">
        <w:rPr>
          <w:sz w:val="16"/>
          <w:szCs w:val="16"/>
        </w:rPr>
        <w:t xml:space="preserve"> 2732017.</w:t>
      </w:r>
    </w:p>
    <w:p w14:paraId="4D0A5808" w14:textId="55789E75" w:rsidR="00F42A9A" w:rsidRPr="00AA1769" w:rsidRDefault="002F0672" w:rsidP="00322255">
      <w:pPr>
        <w:pStyle w:val="DDLBodyText"/>
        <w:numPr>
          <w:ilvl w:val="0"/>
          <w:numId w:val="6"/>
        </w:numPr>
        <w:rPr>
          <w:sz w:val="16"/>
          <w:szCs w:val="16"/>
        </w:rPr>
      </w:pPr>
      <w:r w:rsidRPr="00AA1769">
        <w:rPr>
          <w:sz w:val="16"/>
          <w:szCs w:val="16"/>
        </w:rPr>
        <w:t>Sala V, Murabito A, Ghigo A</w:t>
      </w:r>
      <w:r w:rsidR="0093701C">
        <w:rPr>
          <w:sz w:val="16"/>
          <w:szCs w:val="16"/>
        </w:rPr>
        <w:t>:</w:t>
      </w:r>
      <w:r w:rsidRPr="00AA1769">
        <w:rPr>
          <w:sz w:val="16"/>
          <w:szCs w:val="16"/>
        </w:rPr>
        <w:t xml:space="preserve"> Inhaled Biologicals for the Treatment of Cystic Fibrosis</w:t>
      </w:r>
      <w:r w:rsidR="0093701C">
        <w:rPr>
          <w:sz w:val="16"/>
          <w:szCs w:val="16"/>
        </w:rPr>
        <w:t>,</w:t>
      </w:r>
      <w:r w:rsidRPr="00AA1769">
        <w:rPr>
          <w:sz w:val="16"/>
          <w:szCs w:val="16"/>
        </w:rPr>
        <w:t xml:space="preserve"> Recent </w:t>
      </w:r>
      <w:r w:rsidR="0093701C">
        <w:rPr>
          <w:sz w:val="16"/>
          <w:szCs w:val="16"/>
        </w:rPr>
        <w:t>Pat</w:t>
      </w:r>
      <w:r w:rsidRPr="00AA1769">
        <w:rPr>
          <w:sz w:val="16"/>
          <w:szCs w:val="16"/>
        </w:rPr>
        <w:t xml:space="preserve"> </w:t>
      </w:r>
      <w:r w:rsidR="0093701C">
        <w:rPr>
          <w:sz w:val="16"/>
          <w:szCs w:val="16"/>
        </w:rPr>
        <w:t>I</w:t>
      </w:r>
      <w:r w:rsidRPr="00AA1769">
        <w:rPr>
          <w:sz w:val="16"/>
          <w:szCs w:val="16"/>
        </w:rPr>
        <w:t xml:space="preserve">nflamm </w:t>
      </w:r>
      <w:r w:rsidR="0093701C">
        <w:rPr>
          <w:sz w:val="16"/>
          <w:szCs w:val="16"/>
        </w:rPr>
        <w:t>A</w:t>
      </w:r>
      <w:r w:rsidRPr="00AA1769">
        <w:rPr>
          <w:sz w:val="16"/>
          <w:szCs w:val="16"/>
        </w:rPr>
        <w:t xml:space="preserve">llergy </w:t>
      </w:r>
      <w:r w:rsidR="0093701C">
        <w:rPr>
          <w:sz w:val="16"/>
          <w:szCs w:val="16"/>
        </w:rPr>
        <w:t>D</w:t>
      </w:r>
      <w:r w:rsidRPr="00AA1769">
        <w:rPr>
          <w:sz w:val="16"/>
          <w:szCs w:val="16"/>
        </w:rPr>
        <w:t xml:space="preserve">rug </w:t>
      </w:r>
      <w:r w:rsidR="0093701C">
        <w:rPr>
          <w:sz w:val="16"/>
          <w:szCs w:val="16"/>
        </w:rPr>
        <w:t>D</w:t>
      </w:r>
      <w:r w:rsidRPr="00AA1769">
        <w:rPr>
          <w:sz w:val="16"/>
          <w:szCs w:val="16"/>
        </w:rPr>
        <w:t>iscov</w:t>
      </w:r>
      <w:r w:rsidR="0093701C">
        <w:rPr>
          <w:sz w:val="16"/>
          <w:szCs w:val="16"/>
        </w:rPr>
        <w:t xml:space="preserve"> 2019;</w:t>
      </w:r>
      <w:r w:rsidRPr="00AA1769">
        <w:rPr>
          <w:sz w:val="16"/>
          <w:szCs w:val="16"/>
        </w:rPr>
        <w:t xml:space="preserve"> 13(1)</w:t>
      </w:r>
      <w:r w:rsidR="0093701C">
        <w:rPr>
          <w:sz w:val="16"/>
          <w:szCs w:val="16"/>
        </w:rPr>
        <w:t>:</w:t>
      </w:r>
      <w:r w:rsidRPr="00AA1769">
        <w:rPr>
          <w:sz w:val="16"/>
          <w:szCs w:val="16"/>
        </w:rPr>
        <w:t xml:space="preserve"> </w:t>
      </w:r>
      <w:r w:rsidR="0093701C">
        <w:rPr>
          <w:sz w:val="16"/>
          <w:szCs w:val="16"/>
        </w:rPr>
        <w:t xml:space="preserve">pp </w:t>
      </w:r>
      <w:r w:rsidRPr="00AA1769">
        <w:rPr>
          <w:sz w:val="16"/>
          <w:szCs w:val="16"/>
        </w:rPr>
        <w:t>19–26</w:t>
      </w:r>
    </w:p>
    <w:p w14:paraId="5C3D77C5" w14:textId="75488B7A" w:rsidR="002F0672" w:rsidRPr="00AA1769" w:rsidRDefault="00192ABA" w:rsidP="00322255">
      <w:pPr>
        <w:pStyle w:val="DDLBodyText"/>
        <w:numPr>
          <w:ilvl w:val="0"/>
          <w:numId w:val="6"/>
        </w:numPr>
        <w:rPr>
          <w:sz w:val="16"/>
          <w:szCs w:val="16"/>
        </w:rPr>
      </w:pPr>
      <w:r w:rsidRPr="00AA1769">
        <w:rPr>
          <w:sz w:val="16"/>
          <w:szCs w:val="16"/>
        </w:rPr>
        <w:t>Matthews</w:t>
      </w:r>
      <w:r w:rsidR="0093701C">
        <w:rPr>
          <w:sz w:val="16"/>
          <w:szCs w:val="16"/>
        </w:rPr>
        <w:t xml:space="preserve"> </w:t>
      </w:r>
      <w:r w:rsidRPr="00AA1769">
        <w:rPr>
          <w:sz w:val="16"/>
          <w:szCs w:val="16"/>
        </w:rPr>
        <w:t>A A, Ee P L R, Ge R</w:t>
      </w:r>
      <w:r w:rsidR="0093701C">
        <w:rPr>
          <w:sz w:val="16"/>
          <w:szCs w:val="16"/>
        </w:rPr>
        <w:t>:</w:t>
      </w:r>
      <w:r w:rsidRPr="00AA1769">
        <w:rPr>
          <w:sz w:val="16"/>
          <w:szCs w:val="16"/>
        </w:rPr>
        <w:t xml:space="preserve"> Developing </w:t>
      </w:r>
      <w:r w:rsidR="0093701C">
        <w:rPr>
          <w:sz w:val="16"/>
          <w:szCs w:val="16"/>
        </w:rPr>
        <w:t>I</w:t>
      </w:r>
      <w:r w:rsidRPr="00AA1769">
        <w:rPr>
          <w:sz w:val="16"/>
          <w:szCs w:val="16"/>
        </w:rPr>
        <w:t xml:space="preserve">nhaled </w:t>
      </w:r>
      <w:r w:rsidR="0093701C">
        <w:rPr>
          <w:sz w:val="16"/>
          <w:szCs w:val="16"/>
        </w:rPr>
        <w:t>P</w:t>
      </w:r>
      <w:r w:rsidRPr="00AA1769">
        <w:rPr>
          <w:sz w:val="16"/>
          <w:szCs w:val="16"/>
        </w:rPr>
        <w:t xml:space="preserve">rotein </w:t>
      </w:r>
      <w:r w:rsidR="0093701C">
        <w:rPr>
          <w:sz w:val="16"/>
          <w:szCs w:val="16"/>
        </w:rPr>
        <w:t>T</w:t>
      </w:r>
      <w:r w:rsidRPr="00AA1769">
        <w:rPr>
          <w:sz w:val="16"/>
          <w:szCs w:val="16"/>
        </w:rPr>
        <w:t xml:space="preserve">herapeutics for </w:t>
      </w:r>
      <w:r w:rsidR="0093701C">
        <w:rPr>
          <w:sz w:val="16"/>
          <w:szCs w:val="16"/>
        </w:rPr>
        <w:t>L</w:t>
      </w:r>
      <w:r w:rsidRPr="00AA1769">
        <w:rPr>
          <w:sz w:val="16"/>
          <w:szCs w:val="16"/>
        </w:rPr>
        <w:t xml:space="preserve">ung </w:t>
      </w:r>
      <w:r w:rsidR="0093701C">
        <w:rPr>
          <w:sz w:val="16"/>
          <w:szCs w:val="16"/>
        </w:rPr>
        <w:t>D</w:t>
      </w:r>
      <w:r w:rsidRPr="00AA1769">
        <w:rPr>
          <w:sz w:val="16"/>
          <w:szCs w:val="16"/>
        </w:rPr>
        <w:t xml:space="preserve">iseases. Mol </w:t>
      </w:r>
      <w:r w:rsidR="0093701C">
        <w:rPr>
          <w:sz w:val="16"/>
          <w:szCs w:val="16"/>
        </w:rPr>
        <w:t>B</w:t>
      </w:r>
      <w:r w:rsidRPr="00AA1769">
        <w:rPr>
          <w:sz w:val="16"/>
          <w:szCs w:val="16"/>
        </w:rPr>
        <w:t>iomed</w:t>
      </w:r>
      <w:r w:rsidR="0093701C">
        <w:rPr>
          <w:sz w:val="16"/>
          <w:szCs w:val="16"/>
        </w:rPr>
        <w:t xml:space="preserve"> 2020; </w:t>
      </w:r>
      <w:r w:rsidRPr="00AA1769">
        <w:rPr>
          <w:sz w:val="16"/>
          <w:szCs w:val="16"/>
        </w:rPr>
        <w:t>1(1)</w:t>
      </w:r>
      <w:r w:rsidR="0093701C">
        <w:rPr>
          <w:sz w:val="16"/>
          <w:szCs w:val="16"/>
        </w:rPr>
        <w:t>:</w:t>
      </w:r>
      <w:r w:rsidRPr="00AA1769">
        <w:rPr>
          <w:sz w:val="16"/>
          <w:szCs w:val="16"/>
        </w:rPr>
        <w:t xml:space="preserve"> 11</w:t>
      </w:r>
      <w:r w:rsidR="0093701C">
        <w:rPr>
          <w:sz w:val="16"/>
          <w:szCs w:val="16"/>
        </w:rPr>
        <w:t>.</w:t>
      </w:r>
    </w:p>
    <w:p w14:paraId="51C1FD8C" w14:textId="4A9AEE8A" w:rsidR="00192ABA" w:rsidRPr="00AA1769" w:rsidRDefault="00192ABA" w:rsidP="00322255">
      <w:pPr>
        <w:pStyle w:val="DDLBodyText"/>
        <w:numPr>
          <w:ilvl w:val="0"/>
          <w:numId w:val="6"/>
        </w:numPr>
        <w:rPr>
          <w:sz w:val="16"/>
          <w:szCs w:val="16"/>
        </w:rPr>
      </w:pPr>
      <w:r w:rsidRPr="00AA1769">
        <w:rPr>
          <w:sz w:val="16"/>
          <w:szCs w:val="16"/>
        </w:rPr>
        <w:t>Dobrowolska K, Miros, M, Sosnowski T R</w:t>
      </w:r>
      <w:r w:rsidR="0093701C">
        <w:rPr>
          <w:sz w:val="16"/>
          <w:szCs w:val="16"/>
        </w:rPr>
        <w:t>:</w:t>
      </w:r>
      <w:r w:rsidRPr="00AA1769">
        <w:rPr>
          <w:sz w:val="16"/>
          <w:szCs w:val="16"/>
        </w:rPr>
        <w:t xml:space="preserve"> Impact of Natural-Based Viscosity Modifiers of Inhalation Drugs on the Dynamic Surface Properties of the Pulmonary Surfactant. Materials</w:t>
      </w:r>
      <w:r w:rsidR="0093701C">
        <w:rPr>
          <w:sz w:val="16"/>
          <w:szCs w:val="16"/>
        </w:rPr>
        <w:t xml:space="preserve"> (Basel)</w:t>
      </w:r>
      <w:r w:rsidRPr="00AA1769">
        <w:rPr>
          <w:sz w:val="16"/>
          <w:szCs w:val="16"/>
        </w:rPr>
        <w:t xml:space="preserve"> </w:t>
      </w:r>
      <w:r w:rsidR="0093701C">
        <w:rPr>
          <w:sz w:val="16"/>
          <w:szCs w:val="16"/>
        </w:rPr>
        <w:t>2023;</w:t>
      </w:r>
      <w:r w:rsidRPr="00AA1769">
        <w:rPr>
          <w:sz w:val="16"/>
          <w:szCs w:val="16"/>
        </w:rPr>
        <w:t xml:space="preserve"> 16(5)</w:t>
      </w:r>
      <w:r w:rsidR="0093701C">
        <w:rPr>
          <w:sz w:val="16"/>
          <w:szCs w:val="16"/>
        </w:rPr>
        <w:t>;</w:t>
      </w:r>
      <w:r w:rsidRPr="00AA1769">
        <w:rPr>
          <w:sz w:val="16"/>
          <w:szCs w:val="16"/>
        </w:rPr>
        <w:t xml:space="preserve"> 1975.</w:t>
      </w:r>
    </w:p>
    <w:p w14:paraId="57DCC100" w14:textId="35836403" w:rsidR="00A515A9" w:rsidRPr="00E418DD" w:rsidRDefault="00A85DFD" w:rsidP="00FA376F">
      <w:pPr>
        <w:pStyle w:val="DDLBodyText"/>
        <w:numPr>
          <w:ilvl w:val="0"/>
          <w:numId w:val="6"/>
        </w:numPr>
        <w:rPr>
          <w:sz w:val="16"/>
          <w:szCs w:val="16"/>
        </w:rPr>
      </w:pPr>
      <w:r w:rsidRPr="00E418DD">
        <w:rPr>
          <w:sz w:val="16"/>
          <w:szCs w:val="16"/>
        </w:rPr>
        <w:t>Cuevas Brun</w:t>
      </w:r>
      <w:r w:rsidR="00AA1769" w:rsidRPr="00E418DD">
        <w:rPr>
          <w:sz w:val="16"/>
          <w:szCs w:val="16"/>
        </w:rPr>
        <w:t xml:space="preserve"> E H, Wang C T, Chen Y T, Chen J S, Hsu Y M</w:t>
      </w:r>
      <w:r w:rsidRPr="00E418DD">
        <w:rPr>
          <w:sz w:val="16"/>
          <w:szCs w:val="16"/>
        </w:rPr>
        <w:t>:</w:t>
      </w:r>
      <w:r w:rsidR="00AA1769" w:rsidRPr="00E418DD">
        <w:rPr>
          <w:sz w:val="16"/>
          <w:szCs w:val="16"/>
        </w:rPr>
        <w:t xml:space="preserve"> Assessment of Fugitive Aerosol Emission During Actuation of a Breath-actuated Mesh Nebuliser.</w:t>
      </w:r>
      <w:r w:rsidR="000B4713" w:rsidRPr="00E418DD">
        <w:rPr>
          <w:sz w:val="16"/>
          <w:szCs w:val="16"/>
        </w:rPr>
        <w:t xml:space="preserve"> Present</w:t>
      </w:r>
      <w:r w:rsidR="00E418DD" w:rsidRPr="00E418DD">
        <w:rPr>
          <w:sz w:val="16"/>
          <w:szCs w:val="16"/>
        </w:rPr>
        <w:t>ed</w:t>
      </w:r>
      <w:r w:rsidR="000B4713" w:rsidRPr="00E418DD">
        <w:rPr>
          <w:sz w:val="16"/>
          <w:szCs w:val="16"/>
        </w:rPr>
        <w:t xml:space="preserve"> at: Drug Delivery to the Lungs</w:t>
      </w:r>
      <w:r w:rsidR="00E418DD">
        <w:rPr>
          <w:sz w:val="16"/>
          <w:szCs w:val="16"/>
        </w:rPr>
        <w:t xml:space="preserve"> 2022</w:t>
      </w:r>
      <w:r w:rsidR="000B4713" w:rsidRPr="00E418DD">
        <w:rPr>
          <w:sz w:val="16"/>
          <w:szCs w:val="16"/>
        </w:rPr>
        <w:t>, Edinburgh, Scotland, December 7-9; Volume 33.</w:t>
      </w:r>
    </w:p>
    <w:sectPr w:rsidR="00A515A9" w:rsidRPr="00E418DD" w:rsidSect="00660395">
      <w:headerReference w:type="even" r:id="rId15"/>
      <w:headerReference w:type="default" r:id="rId16"/>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7C9C2" w14:textId="77777777" w:rsidR="009B5EBD" w:rsidRDefault="009B5EBD" w:rsidP="00A515A9">
      <w:r>
        <w:separator/>
      </w:r>
    </w:p>
  </w:endnote>
  <w:endnote w:type="continuationSeparator" w:id="0">
    <w:p w14:paraId="2D73B3D1" w14:textId="77777777" w:rsidR="009B5EBD" w:rsidRDefault="009B5EBD" w:rsidP="00A51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F9C7C" w14:textId="77777777" w:rsidR="009B5EBD" w:rsidRDefault="009B5EBD" w:rsidP="00A515A9">
      <w:r>
        <w:separator/>
      </w:r>
    </w:p>
  </w:footnote>
  <w:footnote w:type="continuationSeparator" w:id="0">
    <w:p w14:paraId="286C1122" w14:textId="77777777" w:rsidR="009B5EBD" w:rsidRDefault="009B5EBD" w:rsidP="00A51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5366329D"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EF1F04">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1405058724"/>
        <w:lock w:val="sdtLocked"/>
        <w:placeholder>
          <w:docPart w:val="9B262A45AE4EE14783A9027F22CA57FC"/>
        </w:placeholder>
      </w:sdtPr>
      <w:sdtEndPr>
        <w:rPr>
          <w:i w:val="0"/>
        </w:rPr>
      </w:sdtEndPr>
      <w:sdtContent>
        <w:r w:rsidR="000C3302" w:rsidRPr="000C3302">
          <w:rPr>
            <w:rStyle w:val="PlaceholderText"/>
            <w:i/>
            <w:color w:val="auto"/>
          </w:rPr>
          <w:t xml:space="preserve">Assessment of Aerosol </w:t>
        </w:r>
        <w:r w:rsidR="000C3302">
          <w:rPr>
            <w:rStyle w:val="PlaceholderText"/>
            <w:i/>
            <w:color w:val="auto"/>
          </w:rPr>
          <w:t>Characterisation</w:t>
        </w:r>
        <w:r w:rsidR="000C3302" w:rsidRPr="000C3302">
          <w:rPr>
            <w:rStyle w:val="PlaceholderText"/>
            <w:i/>
          </w:rPr>
          <w:t xml:space="preserve"> </w:t>
        </w:r>
        <w:r w:rsidR="000C3302">
          <w:t xml:space="preserve">and Delivery Performance of a Solution Using Different Configurations of a Breath-Actuated Mesh Nebuliser </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56DF76CA"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365288173"/>
        <w:lock w:val="sdtLocked"/>
        <w:placeholder>
          <w:docPart w:val="1EF224B4147C5D4EA756EFBE525831E4"/>
        </w:placeholder>
      </w:sdtPr>
      <w:sdtEndPr>
        <w:rPr>
          <w:i w:val="0"/>
          <w:u w:val="single"/>
        </w:rPr>
      </w:sdtEndPr>
      <w:sdtContent>
        <w:r w:rsidR="0076610D" w:rsidRPr="0076610D">
          <w:rPr>
            <w:rStyle w:val="PlaceholderText"/>
            <w:i/>
            <w:color w:val="auto"/>
          </w:rPr>
          <w:t>Edgar H</w:t>
        </w:r>
        <w:r w:rsidR="0076610D" w:rsidRPr="0076610D">
          <w:rPr>
            <w:rStyle w:val="PlaceholderText"/>
            <w:i/>
          </w:rPr>
          <w:t>.</w:t>
        </w:r>
        <w:r w:rsidR="0076610D">
          <w:rPr>
            <w:u w:val="single"/>
          </w:rPr>
          <w:t xml:space="preserve"> </w:t>
        </w:r>
        <w:r w:rsidR="0076610D" w:rsidRPr="00BB20AB">
          <w:rPr>
            <w:u w:val="single"/>
          </w:rPr>
          <w:t>Cuevas Brun</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B0C632B"/>
    <w:multiLevelType w:val="hybridMultilevel"/>
    <w:tmpl w:val="B60ECE64"/>
    <w:lvl w:ilvl="0" w:tplc="DD9681B0">
      <w:start w:val="1"/>
      <w:numFmt w:val="upperLetter"/>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3721FF"/>
    <w:multiLevelType w:val="hybridMultilevel"/>
    <w:tmpl w:val="EFF67112"/>
    <w:lvl w:ilvl="0" w:tplc="0B6A5B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6"/>
  </w:num>
  <w:num w:numId="2" w16cid:durableId="1173883495">
    <w:abstractNumId w:val="0"/>
  </w:num>
  <w:num w:numId="3" w16cid:durableId="1473520453">
    <w:abstractNumId w:val="4"/>
  </w:num>
  <w:num w:numId="4" w16cid:durableId="880900156">
    <w:abstractNumId w:val="5"/>
  </w:num>
  <w:num w:numId="5" w16cid:durableId="1941520065">
    <w:abstractNumId w:val="2"/>
  </w:num>
  <w:num w:numId="6" w16cid:durableId="1628773235">
    <w:abstractNumId w:val="3"/>
  </w:num>
  <w:num w:numId="7" w16cid:durableId="1368489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29C3"/>
    <w:rsid w:val="0001616D"/>
    <w:rsid w:val="00016641"/>
    <w:rsid w:val="00032260"/>
    <w:rsid w:val="00042D62"/>
    <w:rsid w:val="00054372"/>
    <w:rsid w:val="0006467A"/>
    <w:rsid w:val="0007244F"/>
    <w:rsid w:val="000A13F1"/>
    <w:rsid w:val="000A2590"/>
    <w:rsid w:val="000A5A12"/>
    <w:rsid w:val="000B4713"/>
    <w:rsid w:val="000C3302"/>
    <w:rsid w:val="000C5CD6"/>
    <w:rsid w:val="000D33FB"/>
    <w:rsid w:val="000E77D5"/>
    <w:rsid w:val="000F47AF"/>
    <w:rsid w:val="000F70EA"/>
    <w:rsid w:val="001103CE"/>
    <w:rsid w:val="001168C8"/>
    <w:rsid w:val="0012224E"/>
    <w:rsid w:val="00134FB6"/>
    <w:rsid w:val="001401F1"/>
    <w:rsid w:val="001516A0"/>
    <w:rsid w:val="00160344"/>
    <w:rsid w:val="001604DB"/>
    <w:rsid w:val="00172E6B"/>
    <w:rsid w:val="00176B2E"/>
    <w:rsid w:val="00191109"/>
    <w:rsid w:val="00192ABA"/>
    <w:rsid w:val="001942DB"/>
    <w:rsid w:val="001B082E"/>
    <w:rsid w:val="001B0E1B"/>
    <w:rsid w:val="001C1A34"/>
    <w:rsid w:val="001F441A"/>
    <w:rsid w:val="001F70F6"/>
    <w:rsid w:val="001F79B3"/>
    <w:rsid w:val="0020662D"/>
    <w:rsid w:val="00217845"/>
    <w:rsid w:val="00231C18"/>
    <w:rsid w:val="002666D8"/>
    <w:rsid w:val="00283F05"/>
    <w:rsid w:val="00287EA3"/>
    <w:rsid w:val="00287EBD"/>
    <w:rsid w:val="0029067A"/>
    <w:rsid w:val="002A3E34"/>
    <w:rsid w:val="002B74ED"/>
    <w:rsid w:val="002C28E7"/>
    <w:rsid w:val="002D6B31"/>
    <w:rsid w:val="002E30EC"/>
    <w:rsid w:val="002E77AE"/>
    <w:rsid w:val="002F0672"/>
    <w:rsid w:val="002F38E3"/>
    <w:rsid w:val="00311E4A"/>
    <w:rsid w:val="0031528C"/>
    <w:rsid w:val="003160E7"/>
    <w:rsid w:val="00322255"/>
    <w:rsid w:val="00323FE7"/>
    <w:rsid w:val="0033185B"/>
    <w:rsid w:val="00344919"/>
    <w:rsid w:val="0034725F"/>
    <w:rsid w:val="00387ECA"/>
    <w:rsid w:val="0039248E"/>
    <w:rsid w:val="003B1031"/>
    <w:rsid w:val="003B383B"/>
    <w:rsid w:val="003B65D1"/>
    <w:rsid w:val="003C568E"/>
    <w:rsid w:val="003C58EE"/>
    <w:rsid w:val="003C6A3B"/>
    <w:rsid w:val="003D10FC"/>
    <w:rsid w:val="003D3DDE"/>
    <w:rsid w:val="003D7C47"/>
    <w:rsid w:val="003E5D10"/>
    <w:rsid w:val="003F37A9"/>
    <w:rsid w:val="0040232F"/>
    <w:rsid w:val="00403447"/>
    <w:rsid w:val="00404A4E"/>
    <w:rsid w:val="0040614F"/>
    <w:rsid w:val="0041018A"/>
    <w:rsid w:val="00424C98"/>
    <w:rsid w:val="00427F09"/>
    <w:rsid w:val="004334D1"/>
    <w:rsid w:val="00442036"/>
    <w:rsid w:val="00444A63"/>
    <w:rsid w:val="00447700"/>
    <w:rsid w:val="0045279D"/>
    <w:rsid w:val="00452C48"/>
    <w:rsid w:val="004562D6"/>
    <w:rsid w:val="00481A02"/>
    <w:rsid w:val="00490C5A"/>
    <w:rsid w:val="00496006"/>
    <w:rsid w:val="004A684A"/>
    <w:rsid w:val="004B2051"/>
    <w:rsid w:val="004B6D88"/>
    <w:rsid w:val="004C1847"/>
    <w:rsid w:val="004E3AC8"/>
    <w:rsid w:val="004F7E1D"/>
    <w:rsid w:val="004F7F64"/>
    <w:rsid w:val="00506E67"/>
    <w:rsid w:val="005302DC"/>
    <w:rsid w:val="005303CA"/>
    <w:rsid w:val="005357DB"/>
    <w:rsid w:val="00541F41"/>
    <w:rsid w:val="00544864"/>
    <w:rsid w:val="00544FB7"/>
    <w:rsid w:val="00565D5A"/>
    <w:rsid w:val="00571173"/>
    <w:rsid w:val="00582113"/>
    <w:rsid w:val="00591DC8"/>
    <w:rsid w:val="00593A46"/>
    <w:rsid w:val="00596663"/>
    <w:rsid w:val="00596D86"/>
    <w:rsid w:val="005B5FD9"/>
    <w:rsid w:val="005D0946"/>
    <w:rsid w:val="005D1383"/>
    <w:rsid w:val="005D441D"/>
    <w:rsid w:val="005E4C9C"/>
    <w:rsid w:val="005E622A"/>
    <w:rsid w:val="005F4472"/>
    <w:rsid w:val="005F76FF"/>
    <w:rsid w:val="006047B7"/>
    <w:rsid w:val="00613573"/>
    <w:rsid w:val="006220F6"/>
    <w:rsid w:val="00623DF2"/>
    <w:rsid w:val="00631B86"/>
    <w:rsid w:val="00640223"/>
    <w:rsid w:val="0064178B"/>
    <w:rsid w:val="00642787"/>
    <w:rsid w:val="006438B6"/>
    <w:rsid w:val="00660395"/>
    <w:rsid w:val="00671088"/>
    <w:rsid w:val="00676DA7"/>
    <w:rsid w:val="00677708"/>
    <w:rsid w:val="00686D0B"/>
    <w:rsid w:val="00696BFE"/>
    <w:rsid w:val="00697AE7"/>
    <w:rsid w:val="006A1CE5"/>
    <w:rsid w:val="006A7D26"/>
    <w:rsid w:val="006B12B5"/>
    <w:rsid w:val="006B3D22"/>
    <w:rsid w:val="006C2A3B"/>
    <w:rsid w:val="006C3DE4"/>
    <w:rsid w:val="006E1C6F"/>
    <w:rsid w:val="006F0288"/>
    <w:rsid w:val="0070763C"/>
    <w:rsid w:val="00711C1F"/>
    <w:rsid w:val="00715F4B"/>
    <w:rsid w:val="00723E44"/>
    <w:rsid w:val="0072734B"/>
    <w:rsid w:val="007276D0"/>
    <w:rsid w:val="00763CF4"/>
    <w:rsid w:val="00765FB0"/>
    <w:rsid w:val="0076610D"/>
    <w:rsid w:val="007735FD"/>
    <w:rsid w:val="00774E51"/>
    <w:rsid w:val="00781E78"/>
    <w:rsid w:val="0078212D"/>
    <w:rsid w:val="00784010"/>
    <w:rsid w:val="00787F68"/>
    <w:rsid w:val="00791346"/>
    <w:rsid w:val="007B2BEC"/>
    <w:rsid w:val="007B38B6"/>
    <w:rsid w:val="007B4197"/>
    <w:rsid w:val="007D307A"/>
    <w:rsid w:val="007E2F09"/>
    <w:rsid w:val="007E4351"/>
    <w:rsid w:val="007F1DBE"/>
    <w:rsid w:val="00804EEB"/>
    <w:rsid w:val="008050EA"/>
    <w:rsid w:val="008143B9"/>
    <w:rsid w:val="00821655"/>
    <w:rsid w:val="00836B77"/>
    <w:rsid w:val="00837ED2"/>
    <w:rsid w:val="008443EE"/>
    <w:rsid w:val="0084598F"/>
    <w:rsid w:val="00852676"/>
    <w:rsid w:val="0085424F"/>
    <w:rsid w:val="00860916"/>
    <w:rsid w:val="00870B52"/>
    <w:rsid w:val="00881895"/>
    <w:rsid w:val="0089071B"/>
    <w:rsid w:val="008B02F1"/>
    <w:rsid w:val="008B4BF0"/>
    <w:rsid w:val="008C371B"/>
    <w:rsid w:val="008C5C57"/>
    <w:rsid w:val="008C7F2D"/>
    <w:rsid w:val="008D115B"/>
    <w:rsid w:val="008D4D8B"/>
    <w:rsid w:val="008D7F19"/>
    <w:rsid w:val="008E2449"/>
    <w:rsid w:val="008F1678"/>
    <w:rsid w:val="008F2A41"/>
    <w:rsid w:val="008F400F"/>
    <w:rsid w:val="009152F9"/>
    <w:rsid w:val="00930DA1"/>
    <w:rsid w:val="0093458B"/>
    <w:rsid w:val="0093701C"/>
    <w:rsid w:val="00941946"/>
    <w:rsid w:val="0095324F"/>
    <w:rsid w:val="00960163"/>
    <w:rsid w:val="00964A86"/>
    <w:rsid w:val="00966CD3"/>
    <w:rsid w:val="009721F6"/>
    <w:rsid w:val="00974E37"/>
    <w:rsid w:val="009818AC"/>
    <w:rsid w:val="00990C1E"/>
    <w:rsid w:val="00996628"/>
    <w:rsid w:val="009A0009"/>
    <w:rsid w:val="009A1638"/>
    <w:rsid w:val="009A4453"/>
    <w:rsid w:val="009A52B9"/>
    <w:rsid w:val="009A5E01"/>
    <w:rsid w:val="009A6DE2"/>
    <w:rsid w:val="009B5EBD"/>
    <w:rsid w:val="009C6C08"/>
    <w:rsid w:val="009D1A31"/>
    <w:rsid w:val="009D1CB7"/>
    <w:rsid w:val="009D5953"/>
    <w:rsid w:val="009D77B3"/>
    <w:rsid w:val="009E7542"/>
    <w:rsid w:val="00A0358B"/>
    <w:rsid w:val="00A13504"/>
    <w:rsid w:val="00A14F14"/>
    <w:rsid w:val="00A35D52"/>
    <w:rsid w:val="00A46DAE"/>
    <w:rsid w:val="00A47EAC"/>
    <w:rsid w:val="00A50E3F"/>
    <w:rsid w:val="00A515A9"/>
    <w:rsid w:val="00A67298"/>
    <w:rsid w:val="00A85DFD"/>
    <w:rsid w:val="00A94905"/>
    <w:rsid w:val="00AA1175"/>
    <w:rsid w:val="00AA1769"/>
    <w:rsid w:val="00AA324D"/>
    <w:rsid w:val="00AA74BE"/>
    <w:rsid w:val="00AB5B2F"/>
    <w:rsid w:val="00AC04A2"/>
    <w:rsid w:val="00AD115D"/>
    <w:rsid w:val="00AE6EBE"/>
    <w:rsid w:val="00B122AD"/>
    <w:rsid w:val="00B25B95"/>
    <w:rsid w:val="00B412B3"/>
    <w:rsid w:val="00B42A7F"/>
    <w:rsid w:val="00B5120E"/>
    <w:rsid w:val="00B54843"/>
    <w:rsid w:val="00B55646"/>
    <w:rsid w:val="00B62A98"/>
    <w:rsid w:val="00B63C3C"/>
    <w:rsid w:val="00B719D1"/>
    <w:rsid w:val="00B804AB"/>
    <w:rsid w:val="00B835E2"/>
    <w:rsid w:val="00B906A5"/>
    <w:rsid w:val="00B94313"/>
    <w:rsid w:val="00BB20AB"/>
    <w:rsid w:val="00BB2738"/>
    <w:rsid w:val="00BB33A4"/>
    <w:rsid w:val="00BC0021"/>
    <w:rsid w:val="00BC30C2"/>
    <w:rsid w:val="00BC3B49"/>
    <w:rsid w:val="00BD68AD"/>
    <w:rsid w:val="00BD70D3"/>
    <w:rsid w:val="00BD7DE3"/>
    <w:rsid w:val="00C0283C"/>
    <w:rsid w:val="00C126B9"/>
    <w:rsid w:val="00C276DC"/>
    <w:rsid w:val="00C27C5D"/>
    <w:rsid w:val="00C315EA"/>
    <w:rsid w:val="00C36A7A"/>
    <w:rsid w:val="00C541A2"/>
    <w:rsid w:val="00C543B6"/>
    <w:rsid w:val="00C5513E"/>
    <w:rsid w:val="00C5663F"/>
    <w:rsid w:val="00C65A37"/>
    <w:rsid w:val="00C6681A"/>
    <w:rsid w:val="00C76AD9"/>
    <w:rsid w:val="00C84FBE"/>
    <w:rsid w:val="00C974E1"/>
    <w:rsid w:val="00CA18A3"/>
    <w:rsid w:val="00CC1B69"/>
    <w:rsid w:val="00CD1D11"/>
    <w:rsid w:val="00CE0780"/>
    <w:rsid w:val="00CE39C8"/>
    <w:rsid w:val="00CF24A7"/>
    <w:rsid w:val="00CF7D1B"/>
    <w:rsid w:val="00D075F7"/>
    <w:rsid w:val="00D1209B"/>
    <w:rsid w:val="00D156FE"/>
    <w:rsid w:val="00D165A4"/>
    <w:rsid w:val="00D23C41"/>
    <w:rsid w:val="00D26210"/>
    <w:rsid w:val="00D41A7C"/>
    <w:rsid w:val="00D47884"/>
    <w:rsid w:val="00D52E38"/>
    <w:rsid w:val="00D54376"/>
    <w:rsid w:val="00D566D3"/>
    <w:rsid w:val="00D571B5"/>
    <w:rsid w:val="00D63329"/>
    <w:rsid w:val="00D66D78"/>
    <w:rsid w:val="00D67A60"/>
    <w:rsid w:val="00D85CE6"/>
    <w:rsid w:val="00D93537"/>
    <w:rsid w:val="00D9655E"/>
    <w:rsid w:val="00DA14B2"/>
    <w:rsid w:val="00DA3BF8"/>
    <w:rsid w:val="00DB349E"/>
    <w:rsid w:val="00DD4A2D"/>
    <w:rsid w:val="00DD5EB8"/>
    <w:rsid w:val="00DE0973"/>
    <w:rsid w:val="00DE53F7"/>
    <w:rsid w:val="00DE6AE7"/>
    <w:rsid w:val="00DF1745"/>
    <w:rsid w:val="00DF392A"/>
    <w:rsid w:val="00E00624"/>
    <w:rsid w:val="00E108CE"/>
    <w:rsid w:val="00E14DBF"/>
    <w:rsid w:val="00E30D26"/>
    <w:rsid w:val="00E418DD"/>
    <w:rsid w:val="00E42945"/>
    <w:rsid w:val="00E51903"/>
    <w:rsid w:val="00E53D9F"/>
    <w:rsid w:val="00E60A21"/>
    <w:rsid w:val="00E62590"/>
    <w:rsid w:val="00E81711"/>
    <w:rsid w:val="00E9059D"/>
    <w:rsid w:val="00E92FCA"/>
    <w:rsid w:val="00E9667D"/>
    <w:rsid w:val="00E97489"/>
    <w:rsid w:val="00EA378F"/>
    <w:rsid w:val="00EA530D"/>
    <w:rsid w:val="00EC2143"/>
    <w:rsid w:val="00ED6D1F"/>
    <w:rsid w:val="00ED747C"/>
    <w:rsid w:val="00EE7503"/>
    <w:rsid w:val="00EF1F04"/>
    <w:rsid w:val="00F15D45"/>
    <w:rsid w:val="00F20F19"/>
    <w:rsid w:val="00F2495D"/>
    <w:rsid w:val="00F27E20"/>
    <w:rsid w:val="00F3080A"/>
    <w:rsid w:val="00F418A2"/>
    <w:rsid w:val="00F42A9A"/>
    <w:rsid w:val="00F435EA"/>
    <w:rsid w:val="00F514AE"/>
    <w:rsid w:val="00F51FCE"/>
    <w:rsid w:val="00FA6F23"/>
    <w:rsid w:val="00FC1373"/>
    <w:rsid w:val="00FC33BA"/>
    <w:rsid w:val="00FD0068"/>
    <w:rsid w:val="00FD125D"/>
    <w:rsid w:val="00FD1E52"/>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DE4"/>
    <w:rPr>
      <w:sz w:val="24"/>
      <w:szCs w:val="24"/>
      <w:lang w:eastAsia="zh-TW"/>
    </w:rPr>
  </w:style>
  <w:style w:type="paragraph" w:styleId="Heading1">
    <w:name w:val="heading 1"/>
    <w:basedOn w:val="Normal"/>
    <w:next w:val="Normal"/>
    <w:link w:val="Heading1Char"/>
    <w:autoRedefine/>
    <w:uiPriority w:val="9"/>
    <w:rsid w:val="00565D5A"/>
    <w:pPr>
      <w:keepNext/>
      <w:spacing w:before="360" w:after="180"/>
      <w:jc w:val="both"/>
      <w:outlineLvl w:val="0"/>
    </w:pPr>
    <w:rPr>
      <w:rFonts w:ascii="Arial" w:hAnsi="Arial"/>
      <w:b/>
      <w:bCs/>
      <w:kern w:val="32"/>
      <w:sz w:val="18"/>
      <w:szCs w:val="32"/>
      <w:lang w:eastAsia="en-GB"/>
    </w:rPr>
  </w:style>
  <w:style w:type="paragraph" w:styleId="Heading2">
    <w:name w:val="heading 2"/>
    <w:basedOn w:val="Normal"/>
    <w:next w:val="Normal"/>
    <w:rsid w:val="00BD68AD"/>
    <w:pPr>
      <w:keepNext/>
      <w:spacing w:after="180"/>
      <w:jc w:val="both"/>
      <w:outlineLvl w:val="1"/>
    </w:pPr>
    <w:rPr>
      <w:b/>
      <w:i/>
      <w:sz w:val="22"/>
      <w:szCs w:val="20"/>
      <w:lang w:eastAsia="en-US"/>
    </w:rPr>
  </w:style>
  <w:style w:type="paragraph" w:styleId="Heading3">
    <w:name w:val="heading 3"/>
    <w:basedOn w:val="Normal"/>
    <w:next w:val="Normal"/>
    <w:rsid w:val="008D115B"/>
    <w:pPr>
      <w:keepNext/>
      <w:spacing w:before="240" w:after="60"/>
      <w:jc w:val="both"/>
      <w:outlineLvl w:val="2"/>
    </w:pPr>
    <w:rPr>
      <w:rFonts w:ascii="Arial" w:hAnsi="Arial" w:cs="Arial"/>
      <w:b/>
      <w:b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lang w:eastAsia="en-GB"/>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lang w:eastAsia="en-GB"/>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pPr>
      <w:spacing w:after="180"/>
      <w:jc w:val="both"/>
    </w:pPr>
    <w:rPr>
      <w:rFonts w:ascii="Arial" w:hAnsi="Arial"/>
      <w:sz w:val="18"/>
      <w:szCs w:val="20"/>
      <w:lang w:eastAsia="en-GB"/>
    </w:rPr>
  </w:style>
  <w:style w:type="paragraph" w:customStyle="1" w:styleId="DDLBullets">
    <w:name w:val="DDL_Bullets"/>
    <w:basedOn w:val="Normal"/>
    <w:qFormat/>
    <w:rsid w:val="00D156FE"/>
    <w:pPr>
      <w:numPr>
        <w:numId w:val="4"/>
      </w:numPr>
      <w:tabs>
        <w:tab w:val="left" w:pos="567"/>
        <w:tab w:val="left" w:pos="1701"/>
      </w:tabs>
      <w:spacing w:after="60"/>
      <w:ind w:left="568" w:hanging="284"/>
      <w:jc w:val="both"/>
    </w:pPr>
    <w:rPr>
      <w:rFonts w:ascii="Arial" w:hAnsi="Arial"/>
      <w:sz w:val="18"/>
      <w:szCs w:val="20"/>
      <w:lang w:eastAsia="en-GB"/>
    </w:r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pPr>
      <w:spacing w:after="180"/>
      <w:jc w:val="both"/>
    </w:pPr>
    <w:rPr>
      <w:rFonts w:ascii="Arial" w:hAnsi="Arial"/>
      <w:sz w:val="20"/>
      <w:szCs w:val="20"/>
      <w:lang w:eastAsia="en-GB"/>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jc w:val="both"/>
    </w:pPr>
    <w:rPr>
      <w:rFonts w:ascii="Segoe UI" w:hAnsi="Segoe UI"/>
      <w:sz w:val="18"/>
      <w:szCs w:val="18"/>
      <w:lang w:eastAsia="en-GB"/>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pPr>
      <w:spacing w:after="180"/>
      <w:jc w:val="both"/>
    </w:pPr>
    <w:rPr>
      <w:rFonts w:ascii="Arial" w:hAnsi="Arial"/>
      <w:b/>
      <w:bCs/>
      <w:sz w:val="20"/>
      <w:szCs w:val="20"/>
      <w:lang w:eastAsia="en-GB"/>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jc w:val="both"/>
    </w:pPr>
    <w:rPr>
      <w:rFonts w:ascii="Arial" w:hAnsi="Arial"/>
      <w:sz w:val="18"/>
      <w:szCs w:val="20"/>
      <w:lang w:eastAsia="en-GB"/>
    </w:rPr>
  </w:style>
  <w:style w:type="paragraph" w:styleId="EndnoteText">
    <w:name w:val="endnote text"/>
    <w:basedOn w:val="Normal"/>
    <w:link w:val="EndnoteTextChar"/>
    <w:uiPriority w:val="99"/>
    <w:semiHidden/>
    <w:unhideWhenUsed/>
    <w:rsid w:val="00A515A9"/>
    <w:pPr>
      <w:spacing w:after="180"/>
      <w:jc w:val="both"/>
    </w:pPr>
    <w:rPr>
      <w:rFonts w:ascii="Arial" w:hAnsi="Arial"/>
      <w:sz w:val="20"/>
      <w:szCs w:val="20"/>
      <w:lang w:eastAsia="en-GB"/>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spacing w:after="180"/>
      <w:jc w:val="both"/>
    </w:pPr>
    <w:rPr>
      <w:rFonts w:ascii="Arial" w:hAnsi="Arial"/>
      <w:sz w:val="18"/>
      <w:szCs w:val="20"/>
      <w:lang w:eastAsia="en-GB"/>
    </w:r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spacing w:after="180"/>
      <w:jc w:val="both"/>
    </w:pPr>
    <w:rPr>
      <w:rFonts w:ascii="Arial" w:hAnsi="Arial"/>
      <w:sz w:val="18"/>
      <w:szCs w:val="20"/>
      <w:lang w:eastAsia="en-GB"/>
    </w:r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styleId="UnresolvedMention">
    <w:name w:val="Unresolved Mention"/>
    <w:basedOn w:val="DefaultParagraphFont"/>
    <w:uiPriority w:val="99"/>
    <w:semiHidden/>
    <w:unhideWhenUsed/>
    <w:rsid w:val="00322255"/>
    <w:rPr>
      <w:color w:val="605E5C"/>
      <w:shd w:val="clear" w:color="auto" w:fill="E1DFDD"/>
    </w:rPr>
  </w:style>
  <w:style w:type="character" w:styleId="FollowedHyperlink">
    <w:name w:val="FollowedHyperlink"/>
    <w:basedOn w:val="DefaultParagraphFont"/>
    <w:uiPriority w:val="99"/>
    <w:semiHidden/>
    <w:unhideWhenUsed/>
    <w:rsid w:val="009370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546672513">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Users\edgarhernancuevasbrun\Downloads\DDL%202023-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edgarhernancuevasbrun\Downloads\DDL%202023-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993602203403182"/>
          <c:y val="0.15879458794587945"/>
          <c:w val="0.68012795593193642"/>
          <c:h val="0.65010217818713623"/>
        </c:manualLayout>
      </c:layout>
      <c:barChart>
        <c:barDir val="col"/>
        <c:grouping val="clustered"/>
        <c:varyColors val="0"/>
        <c:ser>
          <c:idx val="0"/>
          <c:order val="0"/>
          <c:tx>
            <c:strRef>
              <c:f>Table1!$AX$8</c:f>
              <c:strCache>
                <c:ptCount val="1"/>
                <c:pt idx="0">
                  <c:v>Delivery Rate</c:v>
                </c:pt>
              </c:strCache>
            </c:strRef>
          </c:tx>
          <c:spPr>
            <a:solidFill>
              <a:schemeClr val="accent1"/>
            </a:solidFill>
            <a:ln>
              <a:noFill/>
            </a:ln>
            <a:effectLst/>
          </c:spPr>
          <c:invertIfNegative val="0"/>
          <c:dLbls>
            <c:dLbl>
              <c:idx val="0"/>
              <c:layout>
                <c:manualLayout>
                  <c:x val="0"/>
                  <c:y val="-1.70610867509242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872-FC4A-AFCB-B3A03FBBD947}"/>
                </c:ext>
              </c:extLst>
            </c:dLbl>
            <c:dLbl>
              <c:idx val="1"/>
              <c:layout>
                <c:manualLayout>
                  <c:x val="0"/>
                  <c:y val="-1.70610867509242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872-FC4A-AFCB-B3A03FBBD947}"/>
                </c:ext>
              </c:extLst>
            </c:dLbl>
            <c:dLbl>
              <c:idx val="2"/>
              <c:layout>
                <c:manualLayout>
                  <c:x val="0"/>
                  <c:y val="-1.70610867509242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872-FC4A-AFCB-B3A03FBBD94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fixedVal"/>
            <c:noEndCap val="0"/>
            <c:val val="1.0000000000000002E-2"/>
            <c:spPr>
              <a:noFill/>
              <a:ln w="9525" cap="flat" cmpd="sng" algn="ctr">
                <a:solidFill>
                  <a:schemeClr val="tx1">
                    <a:lumMod val="65000"/>
                    <a:lumOff val="35000"/>
                  </a:schemeClr>
                </a:solidFill>
                <a:round/>
              </a:ln>
              <a:effectLst/>
            </c:spPr>
          </c:errBars>
          <c:cat>
            <c:strRef>
              <c:f>Table1!$AW$11:$AW$13</c:f>
              <c:strCache>
                <c:ptCount val="3"/>
                <c:pt idx="0">
                  <c:v>3.7µm</c:v>
                </c:pt>
                <c:pt idx="1">
                  <c:v>3.9µm</c:v>
                </c:pt>
                <c:pt idx="2">
                  <c:v>4.1µm</c:v>
                </c:pt>
              </c:strCache>
            </c:strRef>
          </c:cat>
          <c:val>
            <c:numRef>
              <c:f>Table1!$AX$11:$AX$13</c:f>
              <c:numCache>
                <c:formatCode>0.00</c:formatCode>
                <c:ptCount val="3"/>
                <c:pt idx="0">
                  <c:v>0.14374251153808776</c:v>
                </c:pt>
                <c:pt idx="1">
                  <c:v>0.18041048792104983</c:v>
                </c:pt>
                <c:pt idx="2">
                  <c:v>0.21660124502023695</c:v>
                </c:pt>
              </c:numCache>
            </c:numRef>
          </c:val>
          <c:extLst>
            <c:ext xmlns:c16="http://schemas.microsoft.com/office/drawing/2014/chart" uri="{C3380CC4-5D6E-409C-BE32-E72D297353CC}">
              <c16:uniqueId val="{00000003-F872-FC4A-AFCB-B3A03FBBD947}"/>
            </c:ext>
          </c:extLst>
        </c:ser>
        <c:ser>
          <c:idx val="2"/>
          <c:order val="1"/>
          <c:tx>
            <c:strRef>
              <c:f>Table1!$AZ$8</c:f>
              <c:strCache>
                <c:ptCount val="1"/>
                <c:pt idx="0">
                  <c:v>Delivery Pad</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Table1!$AW$11:$AW$13</c:f>
              <c:strCache>
                <c:ptCount val="3"/>
                <c:pt idx="0">
                  <c:v>3.7µm</c:v>
                </c:pt>
                <c:pt idx="1">
                  <c:v>3.9µm</c:v>
                </c:pt>
                <c:pt idx="2">
                  <c:v>4.1µm</c:v>
                </c:pt>
              </c:strCache>
            </c:strRef>
          </c:cat>
          <c:val>
            <c:numRef>
              <c:f>Table1!$AZ$11:$AZ$13</c:f>
              <c:numCache>
                <c:formatCode>General</c:formatCode>
                <c:ptCount val="3"/>
              </c:numCache>
            </c:numRef>
          </c:val>
          <c:extLst>
            <c:ext xmlns:c16="http://schemas.microsoft.com/office/drawing/2014/chart" uri="{C3380CC4-5D6E-409C-BE32-E72D297353CC}">
              <c16:uniqueId val="{00000004-F872-FC4A-AFCB-B3A03FBBD947}"/>
            </c:ext>
          </c:extLst>
        </c:ser>
        <c:dLbls>
          <c:showLegendKey val="0"/>
          <c:showVal val="0"/>
          <c:showCatName val="0"/>
          <c:showSerName val="0"/>
          <c:showPercent val="0"/>
          <c:showBubbleSize val="0"/>
        </c:dLbls>
        <c:gapWidth val="195"/>
        <c:overlap val="-38"/>
        <c:axId val="155098911"/>
        <c:axId val="154767343"/>
      </c:barChart>
      <c:barChart>
        <c:barDir val="col"/>
        <c:grouping val="clustered"/>
        <c:varyColors val="0"/>
        <c:ser>
          <c:idx val="3"/>
          <c:order val="2"/>
          <c:tx>
            <c:strRef>
              <c:f>Table1!$BB$8</c:f>
              <c:strCache>
                <c:ptCount val="1"/>
                <c:pt idx="0">
                  <c:v>Repirable Pad</c:v>
                </c:pt>
              </c:strCache>
            </c:strRef>
          </c:tx>
          <c:spPr>
            <a:solidFill>
              <a:schemeClr val="accent1">
                <a:lumMod val="60000"/>
              </a:schemeClr>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Table1!$AW$11:$AW$13</c:f>
              <c:strCache>
                <c:ptCount val="3"/>
                <c:pt idx="0">
                  <c:v>3.7µm</c:v>
                </c:pt>
                <c:pt idx="1">
                  <c:v>3.9µm</c:v>
                </c:pt>
                <c:pt idx="2">
                  <c:v>4.1µm</c:v>
                </c:pt>
              </c:strCache>
            </c:strRef>
          </c:cat>
          <c:val>
            <c:numRef>
              <c:f>Table1!$BB$11:$BB$13</c:f>
              <c:numCache>
                <c:formatCode>General</c:formatCode>
                <c:ptCount val="3"/>
              </c:numCache>
            </c:numRef>
          </c:val>
          <c:extLst>
            <c:ext xmlns:c16="http://schemas.microsoft.com/office/drawing/2014/chart" uri="{C3380CC4-5D6E-409C-BE32-E72D297353CC}">
              <c16:uniqueId val="{00000005-F872-FC4A-AFCB-B3A03FBBD947}"/>
            </c:ext>
          </c:extLst>
        </c:ser>
        <c:ser>
          <c:idx val="1"/>
          <c:order val="3"/>
          <c:tx>
            <c:strRef>
              <c:f>Table1!$BD$8</c:f>
              <c:strCache>
                <c:ptCount val="1"/>
                <c:pt idx="0">
                  <c:v>Respirable Dose</c:v>
                </c:pt>
              </c:strCache>
            </c:strRef>
          </c:tx>
          <c:spPr>
            <a:solidFill>
              <a:schemeClr val="accent3"/>
            </a:solidFill>
            <a:ln>
              <a:noFill/>
            </a:ln>
            <a:effectLst/>
          </c:spPr>
          <c:invertIfNegative val="0"/>
          <c:dLbls>
            <c:dLbl>
              <c:idx val="0"/>
              <c:layout>
                <c:manualLayout>
                  <c:x val="0"/>
                  <c:y val="-3.41221735018485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872-FC4A-AFCB-B3A03FBBD947}"/>
                </c:ext>
              </c:extLst>
            </c:dLbl>
            <c:dLbl>
              <c:idx val="1"/>
              <c:layout>
                <c:manualLayout>
                  <c:x val="0"/>
                  <c:y val="-2.98569018141174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872-FC4A-AFCB-B3A03FBBD947}"/>
                </c:ext>
              </c:extLst>
            </c:dLbl>
            <c:dLbl>
              <c:idx val="2"/>
              <c:layout>
                <c:manualLayout>
                  <c:x val="-1.6745334229982835E-16"/>
                  <c:y val="-2.98569018141174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872-FC4A-AFCB-B3A03FBBD94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Table1!$BE$11:$BE$13</c:f>
                <c:numCache>
                  <c:formatCode>General</c:formatCode>
                  <c:ptCount val="3"/>
                  <c:pt idx="0">
                    <c:v>0.09</c:v>
                  </c:pt>
                  <c:pt idx="1">
                    <c:v>0.05</c:v>
                  </c:pt>
                  <c:pt idx="2">
                    <c:v>0.05</c:v>
                  </c:pt>
                </c:numCache>
              </c:numRef>
            </c:plus>
            <c:minus>
              <c:numRef>
                <c:f>Table1!$BE$11:$BE$13</c:f>
                <c:numCache>
                  <c:formatCode>General</c:formatCode>
                  <c:ptCount val="3"/>
                  <c:pt idx="0">
                    <c:v>0.09</c:v>
                  </c:pt>
                  <c:pt idx="1">
                    <c:v>0.05</c:v>
                  </c:pt>
                  <c:pt idx="2">
                    <c:v>0.05</c:v>
                  </c:pt>
                </c:numCache>
              </c:numRef>
            </c:minus>
            <c:spPr>
              <a:noFill/>
              <a:ln w="9525" cap="flat" cmpd="sng" algn="ctr">
                <a:solidFill>
                  <a:schemeClr val="tx1">
                    <a:lumMod val="65000"/>
                    <a:lumOff val="35000"/>
                  </a:schemeClr>
                </a:solidFill>
                <a:round/>
              </a:ln>
              <a:effectLst/>
            </c:spPr>
          </c:errBars>
          <c:cat>
            <c:strRef>
              <c:f>Table1!$AW$11:$AW$13</c:f>
              <c:strCache>
                <c:ptCount val="3"/>
                <c:pt idx="0">
                  <c:v>3.7µm</c:v>
                </c:pt>
                <c:pt idx="1">
                  <c:v>3.9µm</c:v>
                </c:pt>
                <c:pt idx="2">
                  <c:v>4.1µm</c:v>
                </c:pt>
              </c:strCache>
            </c:strRef>
          </c:cat>
          <c:val>
            <c:numRef>
              <c:f>Table1!$BD$11:$BD$13</c:f>
              <c:numCache>
                <c:formatCode>General</c:formatCode>
                <c:ptCount val="3"/>
                <c:pt idx="0" formatCode="0.00">
                  <c:v>1.1000000000000001</c:v>
                </c:pt>
                <c:pt idx="1">
                  <c:v>0.99</c:v>
                </c:pt>
                <c:pt idx="2">
                  <c:v>0.91</c:v>
                </c:pt>
              </c:numCache>
            </c:numRef>
          </c:val>
          <c:extLst>
            <c:ext xmlns:c16="http://schemas.microsoft.com/office/drawing/2014/chart" uri="{C3380CC4-5D6E-409C-BE32-E72D297353CC}">
              <c16:uniqueId val="{00000009-F872-FC4A-AFCB-B3A03FBBD947}"/>
            </c:ext>
          </c:extLst>
        </c:ser>
        <c:dLbls>
          <c:showLegendKey val="0"/>
          <c:showVal val="0"/>
          <c:showCatName val="0"/>
          <c:showSerName val="0"/>
          <c:showPercent val="0"/>
          <c:showBubbleSize val="0"/>
        </c:dLbls>
        <c:gapWidth val="195"/>
        <c:overlap val="-38"/>
        <c:axId val="1853218224"/>
        <c:axId val="205348047"/>
      </c:barChart>
      <c:catAx>
        <c:axId val="155098911"/>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Mesh Pore Size Groups</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767343"/>
        <c:crosses val="autoZero"/>
        <c:auto val="1"/>
        <c:lblAlgn val="ctr"/>
        <c:lblOffset val="100"/>
        <c:noMultiLvlLbl val="0"/>
      </c:catAx>
      <c:valAx>
        <c:axId val="154767343"/>
        <c:scaling>
          <c:orientation val="minMax"/>
          <c:max val="0.26"/>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Delivery Rate (mg/min)</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55098911"/>
        <c:crosses val="autoZero"/>
        <c:crossBetween val="between"/>
      </c:valAx>
      <c:valAx>
        <c:axId val="205348047"/>
        <c:scaling>
          <c:orientation val="minMax"/>
          <c:max val="1.3"/>
          <c:min val="0"/>
        </c:scaling>
        <c:delete val="0"/>
        <c:axPos val="r"/>
        <c:title>
          <c:tx>
            <c:rich>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Respirable Dose (mg)</a:t>
                </a:r>
              </a:p>
            </c:rich>
          </c:tx>
          <c:overlay val="0"/>
          <c:spPr>
            <a:noFill/>
            <a:ln>
              <a:noFill/>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853218224"/>
        <c:crosses val="max"/>
        <c:crossBetween val="between"/>
      </c:valAx>
      <c:catAx>
        <c:axId val="1853218224"/>
        <c:scaling>
          <c:orientation val="minMax"/>
        </c:scaling>
        <c:delete val="1"/>
        <c:axPos val="b"/>
        <c:numFmt formatCode="General" sourceLinked="1"/>
        <c:majorTickMark val="out"/>
        <c:minorTickMark val="none"/>
        <c:tickLblPos val="nextTo"/>
        <c:crossAx val="205348047"/>
        <c:crosses val="autoZero"/>
        <c:auto val="1"/>
        <c:lblAlgn val="ctr"/>
        <c:lblOffset val="100"/>
        <c:noMultiLvlLbl val="0"/>
      </c:catAx>
      <c:spPr>
        <a:noFill/>
        <a:ln>
          <a:noFill/>
        </a:ln>
        <a:effectLst/>
      </c:spPr>
    </c:plotArea>
    <c:legend>
      <c:legendPos val="t"/>
      <c:legendEntry>
        <c:idx val="1"/>
        <c:delete val="1"/>
      </c:legendEntry>
      <c:legendEntry>
        <c:idx val="2"/>
        <c:delete val="1"/>
      </c:legendEntry>
      <c:layout>
        <c:manualLayout>
          <c:xMode val="edge"/>
          <c:yMode val="edge"/>
          <c:x val="0.16464909277644643"/>
          <c:y val="3.3044977764516689E-2"/>
          <c:w val="0.69816176868051671"/>
          <c:h val="9.403799448445930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783615750030611"/>
          <c:y val="0.17669359850839031"/>
          <c:w val="0.67712362279691241"/>
          <c:h val="0.63201691404823312"/>
        </c:manualLayout>
      </c:layout>
      <c:barChart>
        <c:barDir val="col"/>
        <c:grouping val="clustered"/>
        <c:varyColors val="0"/>
        <c:ser>
          <c:idx val="0"/>
          <c:order val="0"/>
          <c:tx>
            <c:strRef>
              <c:f>Table1!$AY$23</c:f>
              <c:strCache>
                <c:ptCount val="1"/>
                <c:pt idx="0">
                  <c:v>Delivered Dose</c:v>
                </c:pt>
              </c:strCache>
            </c:strRef>
          </c:tx>
          <c:spPr>
            <a:solidFill>
              <a:schemeClr val="accent1"/>
            </a:solidFill>
            <a:ln>
              <a:noFill/>
            </a:ln>
            <a:effectLst/>
          </c:spPr>
          <c:invertIfNegative val="0"/>
          <c:dLbls>
            <c:dLbl>
              <c:idx val="0"/>
              <c:layout>
                <c:manualLayout>
                  <c:x val="-2.07902100690192E-17"/>
                  <c:y val="-1.71062201988093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EDE-B84A-961B-031A7B2E62A3}"/>
                </c:ext>
              </c:extLst>
            </c:dLbl>
            <c:dLbl>
              <c:idx val="1"/>
              <c:layout>
                <c:manualLayout>
                  <c:x val="-8.3160840276076802E-17"/>
                  <c:y val="-2.13827752485116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EDE-B84A-961B-031A7B2E62A3}"/>
                </c:ext>
              </c:extLst>
            </c:dLbl>
            <c:dLbl>
              <c:idx val="2"/>
              <c:layout>
                <c:manualLayout>
                  <c:x val="-8.3160840276076802E-17"/>
                  <c:y val="-2.13827752485116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EDE-B84A-961B-031A7B2E62A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Table1!$AZ$25:$AZ$27</c:f>
                <c:numCache>
                  <c:formatCode>General</c:formatCode>
                  <c:ptCount val="3"/>
                  <c:pt idx="0">
                    <c:v>3.4</c:v>
                  </c:pt>
                  <c:pt idx="1">
                    <c:v>4.2</c:v>
                  </c:pt>
                  <c:pt idx="2">
                    <c:v>4.0999999999999996</c:v>
                  </c:pt>
                </c:numCache>
              </c:numRef>
            </c:plus>
            <c:minus>
              <c:numRef>
                <c:f>Table1!$AZ$25:$AZ$27</c:f>
                <c:numCache>
                  <c:formatCode>General</c:formatCode>
                  <c:ptCount val="3"/>
                  <c:pt idx="0">
                    <c:v>3.4</c:v>
                  </c:pt>
                  <c:pt idx="1">
                    <c:v>4.2</c:v>
                  </c:pt>
                  <c:pt idx="2">
                    <c:v>4.0999999999999996</c:v>
                  </c:pt>
                </c:numCache>
              </c:numRef>
            </c:minus>
            <c:spPr>
              <a:noFill/>
              <a:ln w="9525" cap="flat" cmpd="sng" algn="ctr">
                <a:solidFill>
                  <a:schemeClr val="tx1">
                    <a:lumMod val="65000"/>
                    <a:lumOff val="35000"/>
                  </a:schemeClr>
                </a:solidFill>
                <a:round/>
              </a:ln>
              <a:effectLst/>
            </c:spPr>
          </c:errBars>
          <c:cat>
            <c:numRef>
              <c:f>Table1!$AX$25:$AX$27</c:f>
              <c:numCache>
                <c:formatCode>0%</c:formatCode>
                <c:ptCount val="3"/>
                <c:pt idx="0">
                  <c:v>0.4</c:v>
                </c:pt>
                <c:pt idx="1">
                  <c:v>0.6</c:v>
                </c:pt>
                <c:pt idx="2">
                  <c:v>0.8</c:v>
                </c:pt>
              </c:numCache>
            </c:numRef>
          </c:cat>
          <c:val>
            <c:numRef>
              <c:f>Table1!$AY$25:$AY$27</c:f>
              <c:numCache>
                <c:formatCode>General</c:formatCode>
                <c:ptCount val="3"/>
                <c:pt idx="0">
                  <c:v>84.2</c:v>
                </c:pt>
                <c:pt idx="1">
                  <c:v>81.900000000000006</c:v>
                </c:pt>
                <c:pt idx="2">
                  <c:v>71.900000000000006</c:v>
                </c:pt>
              </c:numCache>
            </c:numRef>
          </c:val>
          <c:extLst>
            <c:ext xmlns:c16="http://schemas.microsoft.com/office/drawing/2014/chart" uri="{C3380CC4-5D6E-409C-BE32-E72D297353CC}">
              <c16:uniqueId val="{00000003-DEDE-B84A-961B-031A7B2E62A3}"/>
            </c:ext>
          </c:extLst>
        </c:ser>
        <c:ser>
          <c:idx val="2"/>
          <c:order val="1"/>
          <c:tx>
            <c:strRef>
              <c:f>Table1!$BA$23</c:f>
              <c:strCache>
                <c:ptCount val="1"/>
                <c:pt idx="0">
                  <c:v>Delivered Dose Pad</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numRef>
              <c:f>Table1!$AX$25:$AX$27</c:f>
              <c:numCache>
                <c:formatCode>0%</c:formatCode>
                <c:ptCount val="3"/>
                <c:pt idx="0">
                  <c:v>0.4</c:v>
                </c:pt>
                <c:pt idx="1">
                  <c:v>0.6</c:v>
                </c:pt>
                <c:pt idx="2">
                  <c:v>0.8</c:v>
                </c:pt>
              </c:numCache>
            </c:numRef>
          </c:cat>
          <c:val>
            <c:numRef>
              <c:f>Table1!$BA$25:$BA$27</c:f>
              <c:numCache>
                <c:formatCode>General</c:formatCode>
                <c:ptCount val="3"/>
              </c:numCache>
            </c:numRef>
          </c:val>
          <c:extLst>
            <c:ext xmlns:c16="http://schemas.microsoft.com/office/drawing/2014/chart" uri="{C3380CC4-5D6E-409C-BE32-E72D297353CC}">
              <c16:uniqueId val="{00000004-DEDE-B84A-961B-031A7B2E62A3}"/>
            </c:ext>
          </c:extLst>
        </c:ser>
        <c:dLbls>
          <c:showLegendKey val="0"/>
          <c:showVal val="0"/>
          <c:showCatName val="0"/>
          <c:showSerName val="0"/>
          <c:showPercent val="0"/>
          <c:showBubbleSize val="0"/>
        </c:dLbls>
        <c:gapWidth val="195"/>
        <c:overlap val="-38"/>
        <c:axId val="155098911"/>
        <c:axId val="154767343"/>
      </c:barChart>
      <c:barChart>
        <c:barDir val="col"/>
        <c:grouping val="clustered"/>
        <c:varyColors val="0"/>
        <c:ser>
          <c:idx val="3"/>
          <c:order val="2"/>
          <c:tx>
            <c:strRef>
              <c:f>Table1!$BC$23</c:f>
              <c:strCache>
                <c:ptCount val="1"/>
                <c:pt idx="0">
                  <c:v>Delivered Dose Pad</c:v>
                </c:pt>
              </c:strCache>
            </c:strRef>
          </c:tx>
          <c:spPr>
            <a:solidFill>
              <a:schemeClr val="accent1">
                <a:lumMod val="60000"/>
              </a:schemeClr>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Table1!$AW$11:$AW$13</c:f>
              <c:strCache>
                <c:ptCount val="3"/>
                <c:pt idx="0">
                  <c:v>3.7µm</c:v>
                </c:pt>
                <c:pt idx="1">
                  <c:v>3.9µm</c:v>
                </c:pt>
                <c:pt idx="2">
                  <c:v>4.1µm</c:v>
                </c:pt>
              </c:strCache>
            </c:strRef>
          </c:cat>
          <c:val>
            <c:numRef>
              <c:f>Table1!$BC$25:$BC$27</c:f>
              <c:numCache>
                <c:formatCode>General</c:formatCode>
                <c:ptCount val="3"/>
              </c:numCache>
            </c:numRef>
          </c:val>
          <c:extLst>
            <c:ext xmlns:c16="http://schemas.microsoft.com/office/drawing/2014/chart" uri="{C3380CC4-5D6E-409C-BE32-E72D297353CC}">
              <c16:uniqueId val="{00000005-DEDE-B84A-961B-031A7B2E62A3}"/>
            </c:ext>
          </c:extLst>
        </c:ser>
        <c:ser>
          <c:idx val="1"/>
          <c:order val="3"/>
          <c:tx>
            <c:strRef>
              <c:f>Table1!$BE$23</c:f>
              <c:strCache>
                <c:ptCount val="1"/>
                <c:pt idx="0">
                  <c:v>Delivery Rate</c:v>
                </c:pt>
              </c:strCache>
            </c:strRef>
          </c:tx>
          <c:spPr>
            <a:solidFill>
              <a:schemeClr val="accent3"/>
            </a:solidFill>
            <a:ln>
              <a:noFill/>
            </a:ln>
            <a:effectLst/>
          </c:spPr>
          <c:invertIfNegative val="0"/>
          <c:dLbls>
            <c:dLbl>
              <c:idx val="0"/>
              <c:layout>
                <c:manualLayout>
                  <c:x val="0"/>
                  <c:y val="-3.42124403976186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EDE-B84A-961B-031A7B2E62A3}"/>
                </c:ext>
              </c:extLst>
            </c:dLbl>
            <c:dLbl>
              <c:idx val="1"/>
              <c:layout>
                <c:manualLayout>
                  <c:x val="0"/>
                  <c:y val="-2.13827752485116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EDE-B84A-961B-031A7B2E62A3}"/>
                </c:ext>
              </c:extLst>
            </c:dLbl>
            <c:dLbl>
              <c:idx val="2"/>
              <c:layout>
                <c:manualLayout>
                  <c:x val="0"/>
                  <c:y val="-2.13827752485116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EDE-B84A-961B-031A7B2E62A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Table1!$BF$25:$BF$27</c:f>
                <c:numCache>
                  <c:formatCode>General</c:formatCode>
                  <c:ptCount val="3"/>
                  <c:pt idx="0">
                    <c:v>0.01</c:v>
                  </c:pt>
                  <c:pt idx="1">
                    <c:v>0.01</c:v>
                  </c:pt>
                  <c:pt idx="2">
                    <c:v>0.01</c:v>
                  </c:pt>
                </c:numCache>
              </c:numRef>
            </c:plus>
            <c:minus>
              <c:numRef>
                <c:f>Table1!$BF$25:$BF$27</c:f>
                <c:numCache>
                  <c:formatCode>General</c:formatCode>
                  <c:ptCount val="3"/>
                  <c:pt idx="0">
                    <c:v>0.01</c:v>
                  </c:pt>
                  <c:pt idx="1">
                    <c:v>0.01</c:v>
                  </c:pt>
                  <c:pt idx="2">
                    <c:v>0.01</c:v>
                  </c:pt>
                </c:numCache>
              </c:numRef>
            </c:minus>
            <c:spPr>
              <a:noFill/>
              <a:ln w="9525" cap="flat" cmpd="sng" algn="ctr">
                <a:solidFill>
                  <a:schemeClr val="tx1">
                    <a:lumMod val="65000"/>
                    <a:lumOff val="35000"/>
                  </a:schemeClr>
                </a:solidFill>
                <a:round/>
              </a:ln>
              <a:effectLst/>
            </c:spPr>
          </c:errBars>
          <c:cat>
            <c:strRef>
              <c:f>Table1!$AW$11:$AW$13</c:f>
              <c:strCache>
                <c:ptCount val="3"/>
                <c:pt idx="0">
                  <c:v>3.7µm</c:v>
                </c:pt>
                <c:pt idx="1">
                  <c:v>3.9µm</c:v>
                </c:pt>
                <c:pt idx="2">
                  <c:v>4.1µm</c:v>
                </c:pt>
              </c:strCache>
            </c:strRef>
          </c:cat>
          <c:val>
            <c:numRef>
              <c:f>Table1!$BE$25:$BE$27</c:f>
              <c:numCache>
                <c:formatCode>General</c:formatCode>
                <c:ptCount val="3"/>
                <c:pt idx="0">
                  <c:v>0.1</c:v>
                </c:pt>
                <c:pt idx="1">
                  <c:v>0.14000000000000001</c:v>
                </c:pt>
                <c:pt idx="2">
                  <c:v>0.17</c:v>
                </c:pt>
              </c:numCache>
            </c:numRef>
          </c:val>
          <c:extLst>
            <c:ext xmlns:c16="http://schemas.microsoft.com/office/drawing/2014/chart" uri="{C3380CC4-5D6E-409C-BE32-E72D297353CC}">
              <c16:uniqueId val="{00000009-DEDE-B84A-961B-031A7B2E62A3}"/>
            </c:ext>
          </c:extLst>
        </c:ser>
        <c:dLbls>
          <c:showLegendKey val="0"/>
          <c:showVal val="0"/>
          <c:showCatName val="0"/>
          <c:showSerName val="0"/>
          <c:showPercent val="0"/>
          <c:showBubbleSize val="0"/>
        </c:dLbls>
        <c:gapWidth val="195"/>
        <c:overlap val="-38"/>
        <c:axId val="2065080416"/>
        <c:axId val="2040928000"/>
      </c:barChart>
      <c:catAx>
        <c:axId val="155098911"/>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Triggering Spans</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767343"/>
        <c:crosses val="autoZero"/>
        <c:auto val="1"/>
        <c:lblAlgn val="ctr"/>
        <c:lblOffset val="100"/>
        <c:noMultiLvlLbl val="0"/>
      </c:catAx>
      <c:valAx>
        <c:axId val="154767343"/>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Delivered Dose (%)</a:t>
                </a:r>
              </a:p>
            </c:rich>
          </c:tx>
          <c:layout>
            <c:manualLayout>
              <c:xMode val="edge"/>
              <c:yMode val="edge"/>
              <c:x val="9.0477267586518886E-3"/>
              <c:y val="0.24156589008348731"/>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55098911"/>
        <c:crosses val="autoZero"/>
        <c:crossBetween val="between"/>
      </c:valAx>
      <c:valAx>
        <c:axId val="2040928000"/>
        <c:scaling>
          <c:orientation val="minMax"/>
        </c:scaling>
        <c:delete val="0"/>
        <c:axPos val="r"/>
        <c:title>
          <c:tx>
            <c:rich>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Delivery Rate (mg/min)</a:t>
                </a:r>
              </a:p>
            </c:rich>
          </c:tx>
          <c:layout>
            <c:manualLayout>
              <c:xMode val="edge"/>
              <c:yMode val="edge"/>
              <c:x val="0.92588344461918515"/>
              <c:y val="0.2223473737557673"/>
            </c:manualLayout>
          </c:layout>
          <c:overlay val="0"/>
          <c:spPr>
            <a:noFill/>
            <a:ln>
              <a:noFill/>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0" sourceLinked="0"/>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2065080416"/>
        <c:crosses val="max"/>
        <c:crossBetween val="between"/>
      </c:valAx>
      <c:catAx>
        <c:axId val="2065080416"/>
        <c:scaling>
          <c:orientation val="minMax"/>
        </c:scaling>
        <c:delete val="1"/>
        <c:axPos val="b"/>
        <c:numFmt formatCode="General" sourceLinked="1"/>
        <c:majorTickMark val="out"/>
        <c:minorTickMark val="none"/>
        <c:tickLblPos val="nextTo"/>
        <c:crossAx val="2040928000"/>
        <c:crosses val="autoZero"/>
        <c:auto val="1"/>
        <c:lblAlgn val="ctr"/>
        <c:lblOffset val="100"/>
        <c:noMultiLvlLbl val="0"/>
      </c:catAx>
      <c:spPr>
        <a:noFill/>
        <a:ln>
          <a:noFill/>
        </a:ln>
        <a:effectLst/>
      </c:spPr>
    </c:plotArea>
    <c:legend>
      <c:legendPos val="t"/>
      <c:legendEntry>
        <c:idx val="1"/>
        <c:delete val="1"/>
      </c:legendEntry>
      <c:legendEntry>
        <c:idx val="2"/>
        <c:delete val="1"/>
      </c:legendEntry>
      <c:layout>
        <c:manualLayout>
          <c:xMode val="edge"/>
          <c:yMode val="edge"/>
          <c:x val="0.16407945613900726"/>
          <c:y val="3.3169593003995149E-2"/>
          <c:w val="0.66279300475361869"/>
          <c:h val="9.403799448445930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1EF224B4147C5D4EA756EFBE525831E4"/>
        <w:category>
          <w:name w:val="General"/>
          <w:gallery w:val="placeholder"/>
        </w:category>
        <w:types>
          <w:type w:val="bbPlcHdr"/>
        </w:types>
        <w:behaviors>
          <w:behavior w:val="content"/>
        </w:behaviors>
        <w:guid w:val="{6EBD93F8-3FFF-2246-A9F3-362C8109C39B}"/>
      </w:docPartPr>
      <w:docPartBody>
        <w:p w:rsidR="007377A5" w:rsidRDefault="00035B93" w:rsidP="00035B93">
          <w:pPr>
            <w:pStyle w:val="1EF224B4147C5D4EA756EFBE525831E4"/>
          </w:pPr>
          <w:r w:rsidRPr="00160344">
            <w:rPr>
              <w:rStyle w:val="PlaceholderText"/>
              <w:color w:val="auto"/>
              <w:u w:val="single"/>
            </w:rPr>
            <w:t>Main Author</w:t>
          </w:r>
        </w:p>
      </w:docPartBody>
    </w:docPart>
    <w:docPart>
      <w:docPartPr>
        <w:name w:val="9B262A45AE4EE14783A9027F22CA57FC"/>
        <w:category>
          <w:name w:val="General"/>
          <w:gallery w:val="placeholder"/>
        </w:category>
        <w:types>
          <w:type w:val="bbPlcHdr"/>
        </w:types>
        <w:behaviors>
          <w:behavior w:val="content"/>
        </w:behaviors>
        <w:guid w:val="{B966505B-4EB6-EA42-90BE-FE07DA2D2601}"/>
      </w:docPartPr>
      <w:docPartBody>
        <w:p w:rsidR="002A3A59" w:rsidRDefault="00C56505" w:rsidP="00C56505">
          <w:pPr>
            <w:pStyle w:val="9B262A45AE4EE14783A9027F22CA57FC"/>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35B93"/>
    <w:rsid w:val="00074500"/>
    <w:rsid w:val="00095767"/>
    <w:rsid w:val="00134A2D"/>
    <w:rsid w:val="001703F7"/>
    <w:rsid w:val="00194847"/>
    <w:rsid w:val="001D4D96"/>
    <w:rsid w:val="00264AB9"/>
    <w:rsid w:val="002A3A59"/>
    <w:rsid w:val="003009AF"/>
    <w:rsid w:val="004A5D97"/>
    <w:rsid w:val="005025F8"/>
    <w:rsid w:val="005367CF"/>
    <w:rsid w:val="00623571"/>
    <w:rsid w:val="006A2347"/>
    <w:rsid w:val="006F5126"/>
    <w:rsid w:val="007377A5"/>
    <w:rsid w:val="008E4E65"/>
    <w:rsid w:val="009231BA"/>
    <w:rsid w:val="00943A37"/>
    <w:rsid w:val="00965CA4"/>
    <w:rsid w:val="009C3274"/>
    <w:rsid w:val="009F0831"/>
    <w:rsid w:val="00AD0A82"/>
    <w:rsid w:val="00B01474"/>
    <w:rsid w:val="00BC0005"/>
    <w:rsid w:val="00C52EE3"/>
    <w:rsid w:val="00C56505"/>
    <w:rsid w:val="00CF1D98"/>
    <w:rsid w:val="00DB04D1"/>
    <w:rsid w:val="00E13D94"/>
    <w:rsid w:val="00E60656"/>
    <w:rsid w:val="00E922D6"/>
    <w:rsid w:val="00F5369E"/>
    <w:rsid w:val="00FB16D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6505"/>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1EF224B4147C5D4EA756EFBE525831E4">
    <w:name w:val="1EF224B4147C5D4EA756EFBE525831E4"/>
    <w:rsid w:val="00035B93"/>
    <w:pPr>
      <w:spacing w:after="0" w:line="240" w:lineRule="auto"/>
    </w:pPr>
    <w:rPr>
      <w:sz w:val="24"/>
      <w:szCs w:val="24"/>
      <w:lang w:eastAsia="zh-TW"/>
    </w:rPr>
  </w:style>
  <w:style w:type="paragraph" w:customStyle="1" w:styleId="9B262A45AE4EE14783A9027F22CA57FC">
    <w:name w:val="9B262A45AE4EE14783A9027F22CA57FC"/>
    <w:rsid w:val="00C56505"/>
    <w:pPr>
      <w:spacing w:after="0" w:line="240" w:lineRule="auto"/>
    </w:pPr>
    <w:rPr>
      <w:sz w:val="24"/>
      <w:szCs w:val="24"/>
      <w:lang w:eastAsia="zh-TW"/>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760EE9D9-A80A-4CB8-920E-6A0E1257BCFD}"/>
</file>

<file path=customXml/itemProps3.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4.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d03b2fd5-d776-4ab2-99d1-752eafc2b61f"/>
    <ds:schemaRef ds:uri="81157acb-f7bb-4b23-bd42-7a584c1f72e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2098</Words>
  <Characters>11913</Characters>
  <Application>Microsoft Office Word</Application>
  <DocSecurity>4</DocSecurity>
  <Lines>99</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2015-06-18T14:58:00Z</cp:lastPrinted>
  <dcterms:created xsi:type="dcterms:W3CDTF">2023-10-13T16:36:00Z</dcterms:created>
  <dcterms:modified xsi:type="dcterms:W3CDTF">2023-10-13T16:36:00Z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y fmtid="{D5CDD505-2E9C-101B-9397-08002B2CF9AE}" pid="4" name="GrammarlyDocumentId">
    <vt:lpwstr>5cc4519585a0cc089822140f0b7cfee622a467edac44964eba0eb2dd2bf57d80</vt:lpwstr>
  </property>
</Properties>
</file>