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Title"/>
    <w:p w14:paraId="57DCC0EB" w14:textId="46FA6E0E" w:rsidR="000E77D5" w:rsidRPr="00160344" w:rsidRDefault="006B77BD" w:rsidP="00523DC0">
      <w:pPr>
        <w:pStyle w:val="DDLTitle"/>
      </w:pPr>
      <w:sdt>
        <w:sdtPr>
          <w:alias w:val="Title"/>
          <w:tag w:val="Title"/>
          <w:id w:val="-912845432"/>
          <w:lock w:val="sdtLocked"/>
          <w:placeholder>
            <w:docPart w:val="F93874C70D8C44D6B0BA71800E08656C"/>
          </w:placeholder>
        </w:sdtPr>
        <w:sdtEndPr/>
        <w:sdtContent>
          <w:sdt>
            <w:sdtPr>
              <w:alias w:val="Title"/>
              <w:tag w:val="Title"/>
              <w:id w:val="-1318253075"/>
              <w:placeholder>
                <w:docPart w:val="3C73D736C95849AABFF883E22C4E1ACE"/>
              </w:placeholder>
            </w:sdtPr>
            <w:sdtEndPr/>
            <w:sdtContent>
              <w:r w:rsidR="005964BD">
                <w:t>Investigating the Dispersion Capability of High Dose DPI Formulations Manufactured Through Isothermal Dry Particle Coating (iDPC</w:t>
              </w:r>
              <w:r w:rsidR="005964BD">
                <w:rPr>
                  <w:rFonts w:cs="Arial"/>
                </w:rPr>
                <w:t>™</w:t>
              </w:r>
              <w:r w:rsidR="005964BD">
                <w:t>)</w:t>
              </w:r>
            </w:sdtContent>
          </w:sdt>
        </w:sdtContent>
      </w:sdt>
      <w:bookmarkEnd w:id="0"/>
      <w:r w:rsidR="00881895">
        <w:t xml:space="preserve"> </w:t>
      </w:r>
    </w:p>
    <w:bookmarkStart w:id="1" w:name="Author"/>
    <w:p w14:paraId="57DCC0EC" w14:textId="2C911904" w:rsidR="00C65A37" w:rsidRPr="002D0420" w:rsidRDefault="006B77BD" w:rsidP="00AD115D">
      <w:pPr>
        <w:pStyle w:val="DDLSubtitle"/>
        <w:rPr>
          <w:vertAlign w:val="superscript"/>
        </w:rPr>
      </w:pPr>
      <w:sdt>
        <w:sdtPr>
          <w:rPr>
            <w:u w:val="single"/>
          </w:rPr>
          <w:alias w:val="Main Author"/>
          <w:tag w:val="Main Author"/>
          <w:id w:val="854543900"/>
          <w:lock w:val="sdtLocked"/>
          <w:placeholder>
            <w:docPart w:val="38BA82FFF2774C26AC6862CFB8BB55DB"/>
          </w:placeholder>
        </w:sdtPr>
        <w:sdtEndPr/>
        <w:sdtContent>
          <w:r w:rsidR="001A3A9D">
            <w:rPr>
              <w:u w:val="single"/>
            </w:rPr>
            <w:t>Rhys Jones</w:t>
          </w:r>
        </w:sdtContent>
      </w:sdt>
      <w:bookmarkEnd w:id="1"/>
      <w:r w:rsidR="00676DA7" w:rsidRPr="00AD115D">
        <w:rPr>
          <w:vertAlign w:val="superscript"/>
        </w:rPr>
        <w:t>1</w:t>
      </w:r>
      <w:r w:rsidR="00676DA7" w:rsidRPr="00AD115D">
        <w:t xml:space="preserve">, </w:t>
      </w:r>
      <w:r w:rsidR="0075720D">
        <w:t>Amandip Gill</w:t>
      </w:r>
      <w:r w:rsidR="0075720D" w:rsidRPr="0075720D">
        <w:rPr>
          <w:vertAlign w:val="superscript"/>
        </w:rPr>
        <w:t>1</w:t>
      </w:r>
      <w:r w:rsidR="0075720D">
        <w:t xml:space="preserve">, </w:t>
      </w:r>
      <w:r w:rsidR="001571E8">
        <w:t>D</w:t>
      </w:r>
      <w:r w:rsidR="001A3A9D">
        <w:t>avid Wyatt</w:t>
      </w:r>
      <w:r w:rsidR="00161EB6" w:rsidRPr="0075720D">
        <w:rPr>
          <w:vertAlign w:val="superscript"/>
        </w:rPr>
        <w:t>1</w:t>
      </w:r>
      <w:r w:rsidR="005E4228">
        <w:rPr>
          <w:vertAlign w:val="superscript"/>
        </w:rPr>
        <w:t>,2</w:t>
      </w:r>
      <w:r w:rsidR="002D0420">
        <w:t>,</w:t>
      </w:r>
      <w:r w:rsidR="0075720D">
        <w:t xml:space="preserve"> Afzal Mohammed</w:t>
      </w:r>
      <w:r w:rsidR="00E23ABE" w:rsidRPr="002D0420">
        <w:rPr>
          <w:vertAlign w:val="superscript"/>
        </w:rPr>
        <w:t>1,</w:t>
      </w:r>
      <w:r w:rsidR="0075720D" w:rsidRPr="0075720D">
        <w:rPr>
          <w:vertAlign w:val="superscript"/>
        </w:rPr>
        <w:t>2</w:t>
      </w:r>
      <w:r w:rsidR="00A057BC">
        <w:t xml:space="preserve"> &amp;</w:t>
      </w:r>
      <w:r w:rsidR="002D0420">
        <w:t xml:space="preserve"> Jasdip S Koner</w:t>
      </w:r>
      <w:r w:rsidR="002D0420">
        <w:rPr>
          <w:vertAlign w:val="superscript"/>
        </w:rPr>
        <w:t>1</w:t>
      </w:r>
    </w:p>
    <w:p w14:paraId="57DCC0ED" w14:textId="70823400" w:rsidR="00C65A37" w:rsidRDefault="00676DA7" w:rsidP="00AD115D">
      <w:pPr>
        <w:pStyle w:val="DDLAddress1"/>
      </w:pPr>
      <w:r w:rsidRPr="00AD115D">
        <w:rPr>
          <w:vertAlign w:val="superscript"/>
        </w:rPr>
        <w:t>1</w:t>
      </w:r>
      <w:r w:rsidR="00161EB6">
        <w:t>Aston Particle Technologies</w:t>
      </w:r>
      <w:r w:rsidRPr="00BD68AD">
        <w:t xml:space="preserve">, </w:t>
      </w:r>
      <w:r w:rsidR="00161EB6">
        <w:t>Aston Triangle</w:t>
      </w:r>
      <w:r w:rsidRPr="00BD68AD">
        <w:t xml:space="preserve">, </w:t>
      </w:r>
      <w:r w:rsidR="00161EB6">
        <w:t>Birmingham</w:t>
      </w:r>
      <w:r w:rsidRPr="00BD68AD">
        <w:t xml:space="preserve">, </w:t>
      </w:r>
      <w:r w:rsidR="00161EB6">
        <w:t>B4 7ET</w:t>
      </w:r>
      <w:r w:rsidRPr="00BD68AD">
        <w:t xml:space="preserve">, </w:t>
      </w:r>
      <w:r w:rsidR="00161EB6">
        <w:t>United Kingdom</w:t>
      </w:r>
    </w:p>
    <w:p w14:paraId="57DCC0EE" w14:textId="2F2296D9" w:rsidR="00676DA7" w:rsidRPr="00AD115D" w:rsidRDefault="0075720D" w:rsidP="00AD115D">
      <w:pPr>
        <w:pStyle w:val="DDLAddress2"/>
        <w:rPr>
          <w:bCs/>
          <w:u w:val="single"/>
        </w:rPr>
      </w:pPr>
      <w:r w:rsidRPr="0075720D">
        <w:rPr>
          <w:vertAlign w:val="superscript"/>
        </w:rPr>
        <w:t>2</w:t>
      </w:r>
      <w:r>
        <w:t>Aston University, School of Life &amp; Health Sciences, Birmingham, B4 7ET, United Kingdom</w:t>
      </w:r>
    </w:p>
    <w:p w14:paraId="57DCC0EF" w14:textId="77777777" w:rsidR="00C65A37" w:rsidRPr="00582113" w:rsidRDefault="00C65A37" w:rsidP="00D156FE">
      <w:pPr>
        <w:pStyle w:val="DDLHeading1"/>
        <w:rPr>
          <w:sz w:val="20"/>
          <w:szCs w:val="20"/>
        </w:rPr>
      </w:pPr>
      <w:r w:rsidRPr="00582113">
        <w:rPr>
          <w:sz w:val="20"/>
          <w:szCs w:val="20"/>
        </w:rPr>
        <w:t>Summary</w:t>
      </w:r>
    </w:p>
    <w:p w14:paraId="4CF008A0" w14:textId="35504B10" w:rsidR="00CD2811" w:rsidRDefault="00F61820" w:rsidP="00F63B2B">
      <w:pPr>
        <w:pStyle w:val="DDLBodyText"/>
        <w:rPr>
          <w:sz w:val="20"/>
        </w:rPr>
      </w:pPr>
      <w:r>
        <w:rPr>
          <w:sz w:val="20"/>
        </w:rPr>
        <w:t>Isothermal Dry Particle Coating (</w:t>
      </w:r>
      <w:r w:rsidR="009664DE">
        <w:rPr>
          <w:sz w:val="20"/>
        </w:rPr>
        <w:t>i</w:t>
      </w:r>
      <w:r w:rsidR="00A81F78">
        <w:rPr>
          <w:sz w:val="20"/>
        </w:rPr>
        <w:t>DPC</w:t>
      </w:r>
      <w:r>
        <w:rPr>
          <w:sz w:val="20"/>
        </w:rPr>
        <w:t>)</w:t>
      </w:r>
      <w:r w:rsidR="00A81F78">
        <w:rPr>
          <w:sz w:val="20"/>
        </w:rPr>
        <w:t xml:space="preserve"> technology </w:t>
      </w:r>
      <w:r w:rsidR="00755412">
        <w:rPr>
          <w:sz w:val="20"/>
        </w:rPr>
        <w:t xml:space="preserve">is a proprietary powder blending/coating technology </w:t>
      </w:r>
      <w:r w:rsidR="00E23ABE">
        <w:rPr>
          <w:sz w:val="20"/>
        </w:rPr>
        <w:t xml:space="preserve">highly suitable for the development and manufacture </w:t>
      </w:r>
      <w:r w:rsidR="00755412">
        <w:rPr>
          <w:sz w:val="20"/>
        </w:rPr>
        <w:t>of DPI formulations</w:t>
      </w:r>
      <w:r>
        <w:rPr>
          <w:sz w:val="20"/>
        </w:rPr>
        <w:t xml:space="preserve"> </w:t>
      </w:r>
      <w:r w:rsidR="00E23ABE">
        <w:rPr>
          <w:sz w:val="20"/>
        </w:rPr>
        <w:t xml:space="preserve">The object of this </w:t>
      </w:r>
      <w:r w:rsidR="005E4228">
        <w:rPr>
          <w:sz w:val="20"/>
        </w:rPr>
        <w:t xml:space="preserve">study </w:t>
      </w:r>
      <w:r w:rsidR="00657E1C">
        <w:rPr>
          <w:sz w:val="20"/>
        </w:rPr>
        <w:t>was to</w:t>
      </w:r>
      <w:r w:rsidR="009664DE">
        <w:rPr>
          <w:sz w:val="20"/>
        </w:rPr>
        <w:t xml:space="preserve"> </w:t>
      </w:r>
      <w:r w:rsidR="00E23ABE">
        <w:rPr>
          <w:sz w:val="20"/>
        </w:rPr>
        <w:t xml:space="preserve">investigate </w:t>
      </w:r>
      <w:r w:rsidR="009664DE">
        <w:rPr>
          <w:sz w:val="20"/>
        </w:rPr>
        <w:t xml:space="preserve">the </w:t>
      </w:r>
      <w:r w:rsidR="00E23ABE">
        <w:rPr>
          <w:sz w:val="20"/>
        </w:rPr>
        <w:t>delivery performance of concentrated dispersions</w:t>
      </w:r>
      <w:r w:rsidR="009664DE">
        <w:rPr>
          <w:sz w:val="20"/>
        </w:rPr>
        <w:t xml:space="preserve"> (</w:t>
      </w:r>
      <w:r w:rsidR="00A12000">
        <w:rPr>
          <w:sz w:val="20"/>
        </w:rPr>
        <w:t xml:space="preserve">containing </w:t>
      </w:r>
      <w:r w:rsidR="009664DE">
        <w:rPr>
          <w:sz w:val="20"/>
        </w:rPr>
        <w:t>75%</w:t>
      </w:r>
      <w:r w:rsidR="009664DE" w:rsidRPr="001571E8">
        <w:rPr>
          <w:sz w:val="20"/>
          <w:vertAlign w:val="superscript"/>
        </w:rPr>
        <w:t>w</w:t>
      </w:r>
      <w:r w:rsidR="009664DE">
        <w:rPr>
          <w:sz w:val="20"/>
        </w:rPr>
        <w:t>/</w:t>
      </w:r>
      <w:r w:rsidR="009664DE" w:rsidRPr="001571E8">
        <w:rPr>
          <w:sz w:val="20"/>
          <w:vertAlign w:val="subscript"/>
        </w:rPr>
        <w:t>w</w:t>
      </w:r>
      <w:r w:rsidR="00E23ABE" w:rsidRPr="00E23ABE">
        <w:rPr>
          <w:sz w:val="20"/>
        </w:rPr>
        <w:t xml:space="preserve"> </w:t>
      </w:r>
      <w:r w:rsidR="00E23ABE">
        <w:rPr>
          <w:sz w:val="20"/>
        </w:rPr>
        <w:t>active material</w:t>
      </w:r>
      <w:r w:rsidR="009664DE">
        <w:rPr>
          <w:sz w:val="20"/>
        </w:rPr>
        <w:t>)</w:t>
      </w:r>
      <w:r w:rsidR="00E23ABE">
        <w:rPr>
          <w:sz w:val="20"/>
        </w:rPr>
        <w:t xml:space="preserve"> </w:t>
      </w:r>
      <w:r w:rsidR="00A12000">
        <w:rPr>
          <w:sz w:val="20"/>
        </w:rPr>
        <w:t>in</w:t>
      </w:r>
      <w:r w:rsidR="00E23ABE">
        <w:rPr>
          <w:sz w:val="20"/>
        </w:rPr>
        <w:t xml:space="preserve"> a range of in different size </w:t>
      </w:r>
      <w:proofErr w:type="spellStart"/>
      <w:r w:rsidR="00E23ABE">
        <w:rPr>
          <w:sz w:val="20"/>
        </w:rPr>
        <w:t>Monodose</w:t>
      </w:r>
      <w:proofErr w:type="spellEnd"/>
      <w:r w:rsidR="00254189">
        <w:rPr>
          <w:sz w:val="20"/>
        </w:rPr>
        <w:t xml:space="preserve"> RS01</w:t>
      </w:r>
      <w:r w:rsidR="00E23ABE">
        <w:rPr>
          <w:sz w:val="20"/>
        </w:rPr>
        <w:t xml:space="preserve">™ devices </w:t>
      </w:r>
      <w:r w:rsidR="00A12000">
        <w:rPr>
          <w:sz w:val="20"/>
        </w:rPr>
        <w:t>and at</w:t>
      </w:r>
      <w:r w:rsidR="00E23ABE">
        <w:rPr>
          <w:sz w:val="20"/>
        </w:rPr>
        <w:t xml:space="preserve"> different capsule fill volumes.</w:t>
      </w:r>
      <w:r w:rsidR="009664DE">
        <w:rPr>
          <w:sz w:val="20"/>
        </w:rPr>
        <w:t xml:space="preserve"> </w:t>
      </w:r>
      <w:r w:rsidR="00A12000">
        <w:rPr>
          <w:sz w:val="20"/>
        </w:rPr>
        <w:t>The active materials investigated were m</w:t>
      </w:r>
      <w:r w:rsidR="00E23ABE">
        <w:rPr>
          <w:sz w:val="20"/>
        </w:rPr>
        <w:t xml:space="preserve">icronised </w:t>
      </w:r>
      <w:r w:rsidR="00A81F78">
        <w:rPr>
          <w:sz w:val="20"/>
        </w:rPr>
        <w:t>fluticasone propionate (FP)</w:t>
      </w:r>
      <w:r w:rsidR="009664DE">
        <w:rPr>
          <w:sz w:val="20"/>
        </w:rPr>
        <w:t xml:space="preserve"> and </w:t>
      </w:r>
      <w:r w:rsidR="00A12000">
        <w:rPr>
          <w:sz w:val="20"/>
        </w:rPr>
        <w:t xml:space="preserve">micronised </w:t>
      </w:r>
      <w:r w:rsidR="009664DE">
        <w:rPr>
          <w:sz w:val="20"/>
        </w:rPr>
        <w:t>salmeterol xinafoate (SX)</w:t>
      </w:r>
      <w:r w:rsidR="00A12000">
        <w:rPr>
          <w:sz w:val="20"/>
        </w:rPr>
        <w:t xml:space="preserve"> which were dispersed by iDPC separately in a</w:t>
      </w:r>
      <w:r w:rsidR="00CB46F5" w:rsidRPr="002B441A">
        <w:rPr>
          <w:sz w:val="20"/>
          <w:szCs w:val="22"/>
        </w:rPr>
        <w:t>lpha-lactose monohydrate (</w:t>
      </w:r>
      <w:r w:rsidR="00CB46F5">
        <w:rPr>
          <w:sz w:val="20"/>
          <w:szCs w:val="22"/>
        </w:rPr>
        <w:t>Lactohale</w:t>
      </w:r>
      <w:r w:rsidR="00CB46F5" w:rsidRPr="00DC319C">
        <w:rPr>
          <w:rFonts w:cs="Arial"/>
          <w:sz w:val="20"/>
          <w:szCs w:val="22"/>
          <w:vertAlign w:val="superscript"/>
        </w:rPr>
        <w:t>®</w:t>
      </w:r>
      <w:r w:rsidR="00CB46F5">
        <w:rPr>
          <w:sz w:val="20"/>
          <w:szCs w:val="22"/>
        </w:rPr>
        <w:t xml:space="preserve"> 100 (LH100)) and </w:t>
      </w:r>
      <w:r w:rsidR="00A12000">
        <w:rPr>
          <w:sz w:val="20"/>
          <w:szCs w:val="22"/>
        </w:rPr>
        <w:t xml:space="preserve">in </w:t>
      </w:r>
      <w:r w:rsidR="00CB46F5">
        <w:rPr>
          <w:sz w:val="20"/>
          <w:szCs w:val="22"/>
        </w:rPr>
        <w:t>spray-dried mannitol (Pearlitol</w:t>
      </w:r>
      <w:r w:rsidR="00CB46F5" w:rsidRPr="00DC319C">
        <w:rPr>
          <w:rFonts w:cs="Arial"/>
          <w:sz w:val="20"/>
          <w:szCs w:val="22"/>
          <w:vertAlign w:val="superscript"/>
        </w:rPr>
        <w:t>®</w:t>
      </w:r>
      <w:r w:rsidR="00CB46F5">
        <w:rPr>
          <w:rFonts w:cs="Arial"/>
          <w:sz w:val="20"/>
          <w:szCs w:val="22"/>
          <w:vertAlign w:val="superscript"/>
        </w:rPr>
        <w:t xml:space="preserve"> </w:t>
      </w:r>
      <w:r w:rsidR="00CB46F5">
        <w:rPr>
          <w:rFonts w:cs="Arial"/>
          <w:sz w:val="20"/>
          <w:szCs w:val="22"/>
        </w:rPr>
        <w:t>200 SD (P200SD) model carriers.</w:t>
      </w:r>
      <w:r w:rsidR="00CD2811">
        <w:rPr>
          <w:sz w:val="20"/>
        </w:rPr>
        <w:t xml:space="preserve"> </w:t>
      </w:r>
      <w:r w:rsidR="00476CC4">
        <w:rPr>
          <w:sz w:val="20"/>
        </w:rPr>
        <w:t xml:space="preserve">Aerodynamic particle size distribution data for all formulations </w:t>
      </w:r>
      <w:r w:rsidR="00CF6869">
        <w:rPr>
          <w:sz w:val="20"/>
        </w:rPr>
        <w:t>demonstrated the iDPC uniformly dispersed FP and SX across both carriers</w:t>
      </w:r>
      <w:r w:rsidR="00AB4A78">
        <w:rPr>
          <w:sz w:val="20"/>
        </w:rPr>
        <w:t xml:space="preserve">, with highly efficient delivery observed. Fine particle doses demonstrated linear increases </w:t>
      </w:r>
      <w:r w:rsidR="009550C4">
        <w:rPr>
          <w:sz w:val="20"/>
        </w:rPr>
        <w:t xml:space="preserve">when FP and SX was formulated with </w:t>
      </w:r>
      <w:r w:rsidR="0025152D">
        <w:rPr>
          <w:sz w:val="20"/>
        </w:rPr>
        <w:t>lactose</w:t>
      </w:r>
      <w:r w:rsidR="009550C4">
        <w:rPr>
          <w:sz w:val="20"/>
        </w:rPr>
        <w:t xml:space="preserve"> for all </w:t>
      </w:r>
      <w:r w:rsidR="005662FD">
        <w:rPr>
          <w:sz w:val="20"/>
        </w:rPr>
        <w:t xml:space="preserve">delivery systems. A similar pattern was observed with </w:t>
      </w:r>
      <w:r w:rsidR="0025152D">
        <w:rPr>
          <w:sz w:val="20"/>
        </w:rPr>
        <w:t>mannitol</w:t>
      </w:r>
      <w:r w:rsidR="005662FD">
        <w:rPr>
          <w:sz w:val="20"/>
        </w:rPr>
        <w:t xml:space="preserve"> based formulations for both FP and SX </w:t>
      </w:r>
      <w:r w:rsidR="00A158F1">
        <w:rPr>
          <w:sz w:val="20"/>
        </w:rPr>
        <w:t>with</w:t>
      </w:r>
      <w:r w:rsidR="00DC1269">
        <w:rPr>
          <w:sz w:val="20"/>
        </w:rPr>
        <w:t xml:space="preserve"> size 2 and 3 capsules, with relative d</w:t>
      </w:r>
      <w:r w:rsidR="00A158F1">
        <w:rPr>
          <w:sz w:val="20"/>
        </w:rPr>
        <w:t>o</w:t>
      </w:r>
      <w:r w:rsidR="00DC1269">
        <w:rPr>
          <w:sz w:val="20"/>
        </w:rPr>
        <w:t>ses being higher than lactose</w:t>
      </w:r>
      <w:r w:rsidR="00A158F1">
        <w:rPr>
          <w:sz w:val="20"/>
        </w:rPr>
        <w:t>.</w:t>
      </w:r>
      <w:r w:rsidR="00DC1269">
        <w:rPr>
          <w:sz w:val="20"/>
        </w:rPr>
        <w:t xml:space="preserve"> </w:t>
      </w:r>
      <w:proofErr w:type="gramStart"/>
      <w:r w:rsidR="00A158F1">
        <w:rPr>
          <w:sz w:val="20"/>
        </w:rPr>
        <w:t>H</w:t>
      </w:r>
      <w:r w:rsidR="00DC1269">
        <w:rPr>
          <w:sz w:val="20"/>
        </w:rPr>
        <w:t>owever</w:t>
      </w:r>
      <w:proofErr w:type="gramEnd"/>
      <w:r w:rsidR="00DC1269">
        <w:rPr>
          <w:sz w:val="20"/>
        </w:rPr>
        <w:t xml:space="preserve"> at size 0 a </w:t>
      </w:r>
      <w:r w:rsidR="00EA114A">
        <w:rPr>
          <w:sz w:val="20"/>
        </w:rPr>
        <w:t xml:space="preserve">large reduction in emitted dose was observed at 60% fill volume, </w:t>
      </w:r>
      <w:r w:rsidR="00A158F1">
        <w:rPr>
          <w:sz w:val="20"/>
        </w:rPr>
        <w:t xml:space="preserve">FPF performance </w:t>
      </w:r>
      <w:r w:rsidR="00EC6407">
        <w:rPr>
          <w:sz w:val="20"/>
        </w:rPr>
        <w:t>was high across the board, highlighting the capability of iDPC to develop highl</w:t>
      </w:r>
      <w:r w:rsidR="00CA6310">
        <w:rPr>
          <w:sz w:val="20"/>
        </w:rPr>
        <w:t xml:space="preserve">y </w:t>
      </w:r>
      <w:r w:rsidR="00EC6407">
        <w:rPr>
          <w:sz w:val="20"/>
        </w:rPr>
        <w:t xml:space="preserve">efficient </w:t>
      </w:r>
      <w:r w:rsidR="0025152D">
        <w:rPr>
          <w:sz w:val="20"/>
        </w:rPr>
        <w:t>high dose DPI formulation. L</w:t>
      </w:r>
      <w:r w:rsidR="00A158F1">
        <w:rPr>
          <w:sz w:val="20"/>
        </w:rPr>
        <w:t xml:space="preserve">actose based formulations highlighted a </w:t>
      </w:r>
      <w:r w:rsidR="002F50E9">
        <w:rPr>
          <w:sz w:val="20"/>
        </w:rPr>
        <w:t xml:space="preserve">negative correlation to fill volume, with higher volumes </w:t>
      </w:r>
      <w:r w:rsidR="00EC6407">
        <w:rPr>
          <w:sz w:val="20"/>
        </w:rPr>
        <w:t>lowering FPF</w:t>
      </w:r>
      <w:r w:rsidR="005870DA">
        <w:rPr>
          <w:sz w:val="20"/>
        </w:rPr>
        <w:t>. Mannitol based formulations displayed no particular pattern, with FPF remaining high</w:t>
      </w:r>
      <w:r w:rsidR="00CF09D3">
        <w:rPr>
          <w:sz w:val="20"/>
        </w:rPr>
        <w:t xml:space="preserve"> even at 60% fill volume where FPD performance was disrupted. </w:t>
      </w:r>
      <w:r w:rsidR="008557C1">
        <w:rPr>
          <w:sz w:val="20"/>
        </w:rPr>
        <w:t xml:space="preserve">This work demonstrates that when concentrated iDPC formulations are coupled to the </w:t>
      </w:r>
      <w:r w:rsidR="00846063">
        <w:rPr>
          <w:sz w:val="20"/>
        </w:rPr>
        <w:t>appropriate carrier and</w:t>
      </w:r>
      <w:r w:rsidR="008557C1">
        <w:rPr>
          <w:sz w:val="20"/>
        </w:rPr>
        <w:t xml:space="preserve"> </w:t>
      </w:r>
      <w:proofErr w:type="spellStart"/>
      <w:r w:rsidR="008557C1">
        <w:rPr>
          <w:sz w:val="20"/>
        </w:rPr>
        <w:t>Monodose</w:t>
      </w:r>
      <w:proofErr w:type="spellEnd"/>
      <w:r w:rsidR="00254189">
        <w:rPr>
          <w:sz w:val="20"/>
        </w:rPr>
        <w:t xml:space="preserve"> RS01</w:t>
      </w:r>
      <w:r w:rsidR="008557C1">
        <w:rPr>
          <w:sz w:val="20"/>
        </w:rPr>
        <w:t xml:space="preserve"> architecture excellent DPI performance can be achieved</w:t>
      </w:r>
      <w:r w:rsidR="0067741A">
        <w:rPr>
          <w:sz w:val="20"/>
        </w:rPr>
        <w:t xml:space="preserve">. </w:t>
      </w:r>
      <w:r w:rsidR="00486D9C">
        <w:rPr>
          <w:sz w:val="20"/>
        </w:rPr>
        <w:t xml:space="preserve">   </w:t>
      </w:r>
    </w:p>
    <w:p w14:paraId="57DCC0F1" w14:textId="32914F8A" w:rsidR="00E14DBF" w:rsidRPr="00582113" w:rsidRDefault="00E14DBF" w:rsidP="00D156FE">
      <w:pPr>
        <w:pStyle w:val="DDLBodyText"/>
        <w:rPr>
          <w:b/>
          <w:sz w:val="20"/>
        </w:rPr>
      </w:pPr>
      <w:r w:rsidRPr="00582113">
        <w:rPr>
          <w:b/>
          <w:sz w:val="20"/>
        </w:rPr>
        <w:t>Key Message</w:t>
      </w:r>
    </w:p>
    <w:p w14:paraId="3E95C3A4" w14:textId="2D46B38E" w:rsidR="00B82255" w:rsidRDefault="008557C1" w:rsidP="00E14DBF">
      <w:pPr>
        <w:pStyle w:val="DDLBodyText"/>
        <w:rPr>
          <w:rStyle w:val="Strong"/>
          <w:rFonts w:cs="Arial"/>
          <w:b w:val="0"/>
          <w:sz w:val="20"/>
          <w:shd w:val="clear" w:color="auto" w:fill="FFFFFF"/>
        </w:rPr>
      </w:pPr>
      <w:r>
        <w:rPr>
          <w:rStyle w:val="Strong"/>
          <w:rFonts w:cs="Arial"/>
          <w:b w:val="0"/>
          <w:sz w:val="20"/>
          <w:shd w:val="clear" w:color="auto" w:fill="FFFFFF"/>
        </w:rPr>
        <w:t xml:space="preserve">When </w:t>
      </w:r>
      <w:proofErr w:type="spellStart"/>
      <w:r>
        <w:rPr>
          <w:rStyle w:val="Strong"/>
          <w:rFonts w:cs="Arial"/>
          <w:b w:val="0"/>
          <w:sz w:val="20"/>
          <w:shd w:val="clear" w:color="auto" w:fill="FFFFFF"/>
        </w:rPr>
        <w:t>Monodose</w:t>
      </w:r>
      <w:proofErr w:type="spellEnd"/>
      <w:r w:rsidR="00254189">
        <w:rPr>
          <w:rStyle w:val="Strong"/>
          <w:rFonts w:cs="Arial"/>
          <w:b w:val="0"/>
          <w:sz w:val="20"/>
          <w:shd w:val="clear" w:color="auto" w:fill="FFFFFF"/>
        </w:rPr>
        <w:t xml:space="preserve"> RS01</w:t>
      </w:r>
      <w:r>
        <w:rPr>
          <w:rStyle w:val="Strong"/>
          <w:rFonts w:cs="Arial"/>
          <w:b w:val="0"/>
          <w:sz w:val="20"/>
          <w:shd w:val="clear" w:color="auto" w:fill="FFFFFF"/>
        </w:rPr>
        <w:t>™ is used with h</w:t>
      </w:r>
      <w:r w:rsidR="00ED34A7">
        <w:rPr>
          <w:rStyle w:val="Strong"/>
          <w:rFonts w:cs="Arial"/>
          <w:b w:val="0"/>
          <w:sz w:val="20"/>
          <w:shd w:val="clear" w:color="auto" w:fill="FFFFFF"/>
        </w:rPr>
        <w:t xml:space="preserve">igh </w:t>
      </w:r>
      <w:r>
        <w:rPr>
          <w:rStyle w:val="Strong"/>
          <w:rFonts w:cs="Arial"/>
          <w:b w:val="0"/>
          <w:sz w:val="20"/>
          <w:shd w:val="clear" w:color="auto" w:fill="FFFFFF"/>
        </w:rPr>
        <w:t xml:space="preserve">concentration </w:t>
      </w:r>
      <w:r w:rsidR="00ED34A7">
        <w:rPr>
          <w:rStyle w:val="Strong"/>
          <w:rFonts w:cs="Arial"/>
          <w:b w:val="0"/>
          <w:sz w:val="20"/>
          <w:shd w:val="clear" w:color="auto" w:fill="FFFFFF"/>
        </w:rPr>
        <w:t>DPI formulation</w:t>
      </w:r>
      <w:r w:rsidR="000E3FE7">
        <w:rPr>
          <w:rStyle w:val="Strong"/>
          <w:rFonts w:cs="Arial"/>
          <w:b w:val="0"/>
          <w:sz w:val="20"/>
          <w:shd w:val="clear" w:color="auto" w:fill="FFFFFF"/>
        </w:rPr>
        <w:t>s</w:t>
      </w:r>
      <w:r w:rsidR="00ED34A7">
        <w:rPr>
          <w:rStyle w:val="Strong"/>
          <w:rFonts w:cs="Arial"/>
          <w:b w:val="0"/>
          <w:sz w:val="20"/>
          <w:shd w:val="clear" w:color="auto" w:fill="FFFFFF"/>
        </w:rPr>
        <w:t xml:space="preserve"> manufacture</w:t>
      </w:r>
      <w:r w:rsidR="009F2FB2">
        <w:rPr>
          <w:rStyle w:val="Strong"/>
          <w:rFonts w:cs="Arial"/>
          <w:b w:val="0"/>
          <w:sz w:val="20"/>
          <w:shd w:val="clear" w:color="auto" w:fill="FFFFFF"/>
        </w:rPr>
        <w:t>d</w:t>
      </w:r>
      <w:r w:rsidR="00ED34A7">
        <w:rPr>
          <w:rStyle w:val="Strong"/>
          <w:rFonts w:cs="Arial"/>
          <w:b w:val="0"/>
          <w:sz w:val="20"/>
          <w:shd w:val="clear" w:color="auto" w:fill="FFFFFF"/>
        </w:rPr>
        <w:t xml:space="preserve"> by </w:t>
      </w:r>
      <w:r w:rsidR="00B82255">
        <w:rPr>
          <w:rStyle w:val="Strong"/>
          <w:rFonts w:cs="Arial"/>
          <w:b w:val="0"/>
          <w:sz w:val="20"/>
          <w:shd w:val="clear" w:color="auto" w:fill="FFFFFF"/>
        </w:rPr>
        <w:t>iDPC</w:t>
      </w:r>
      <w:r w:rsidR="005B7287">
        <w:rPr>
          <w:rStyle w:val="Strong"/>
          <w:rFonts w:cs="Arial"/>
          <w:b w:val="0"/>
          <w:sz w:val="20"/>
          <w:shd w:val="clear" w:color="auto" w:fill="FFFFFF"/>
        </w:rPr>
        <w:t>™</w:t>
      </w:r>
      <w:r w:rsidR="00937916">
        <w:rPr>
          <w:rStyle w:val="Strong"/>
          <w:rFonts w:cs="Arial"/>
          <w:b w:val="0"/>
          <w:sz w:val="20"/>
          <w:shd w:val="clear" w:color="auto" w:fill="FFFFFF"/>
        </w:rPr>
        <w:t xml:space="preserve"> </w:t>
      </w:r>
      <w:r w:rsidR="008743AF">
        <w:rPr>
          <w:rStyle w:val="Strong"/>
          <w:rFonts w:cs="Arial"/>
          <w:b w:val="0"/>
          <w:sz w:val="20"/>
          <w:shd w:val="clear" w:color="auto" w:fill="FFFFFF"/>
        </w:rPr>
        <w:t xml:space="preserve">high Fine </w:t>
      </w:r>
      <w:r>
        <w:rPr>
          <w:rStyle w:val="Strong"/>
          <w:rFonts w:cs="Arial"/>
          <w:b w:val="0"/>
          <w:sz w:val="20"/>
          <w:shd w:val="clear" w:color="auto" w:fill="FFFFFF"/>
        </w:rPr>
        <w:t xml:space="preserve">Particle </w:t>
      </w:r>
      <w:r w:rsidR="008743AF">
        <w:rPr>
          <w:rStyle w:val="Strong"/>
          <w:rFonts w:cs="Arial"/>
          <w:b w:val="0"/>
          <w:sz w:val="20"/>
          <w:shd w:val="clear" w:color="auto" w:fill="FFFFFF"/>
        </w:rPr>
        <w:t xml:space="preserve">Dose </w:t>
      </w:r>
      <w:r>
        <w:rPr>
          <w:rStyle w:val="Strong"/>
          <w:rFonts w:cs="Arial"/>
          <w:b w:val="0"/>
          <w:sz w:val="20"/>
          <w:shd w:val="clear" w:color="auto" w:fill="FFFFFF"/>
        </w:rPr>
        <w:t xml:space="preserve">can be achieved </w:t>
      </w:r>
      <w:r w:rsidR="00501D38">
        <w:rPr>
          <w:rStyle w:val="Strong"/>
          <w:rFonts w:cs="Arial"/>
          <w:b w:val="0"/>
          <w:sz w:val="20"/>
          <w:shd w:val="clear" w:color="auto" w:fill="FFFFFF"/>
        </w:rPr>
        <w:t>across a range of capsule</w:t>
      </w:r>
      <w:r>
        <w:rPr>
          <w:rStyle w:val="Strong"/>
          <w:rFonts w:cs="Arial"/>
          <w:b w:val="0"/>
          <w:sz w:val="20"/>
          <w:shd w:val="clear" w:color="auto" w:fill="FFFFFF"/>
        </w:rPr>
        <w:t xml:space="preserve"> </w:t>
      </w:r>
      <w:r w:rsidR="00501D38">
        <w:rPr>
          <w:rStyle w:val="Strong"/>
          <w:rFonts w:cs="Arial"/>
          <w:b w:val="0"/>
          <w:sz w:val="20"/>
          <w:shd w:val="clear" w:color="auto" w:fill="FFFFFF"/>
        </w:rPr>
        <w:t>sizes</w:t>
      </w:r>
      <w:r>
        <w:rPr>
          <w:rStyle w:val="Strong"/>
          <w:rFonts w:cs="Arial"/>
          <w:b w:val="0"/>
          <w:sz w:val="20"/>
          <w:shd w:val="clear" w:color="auto" w:fill="FFFFFF"/>
        </w:rPr>
        <w:t xml:space="preserve"> and fill volumes. Excellent APSD performance may be achieved at low</w:t>
      </w:r>
      <w:r w:rsidR="00A7060B">
        <w:rPr>
          <w:rStyle w:val="Strong"/>
          <w:rFonts w:cs="Arial"/>
          <w:b w:val="0"/>
          <w:sz w:val="20"/>
          <w:shd w:val="clear" w:color="auto" w:fill="FFFFFF"/>
        </w:rPr>
        <w:t>er capsule fill volume.</w:t>
      </w:r>
    </w:p>
    <w:p w14:paraId="57DCC0F3" w14:textId="77777777" w:rsidR="00C65A37" w:rsidRPr="00582113" w:rsidRDefault="00C65A37" w:rsidP="00D156FE">
      <w:pPr>
        <w:pStyle w:val="DDLHeading1"/>
        <w:rPr>
          <w:sz w:val="20"/>
          <w:szCs w:val="20"/>
        </w:rPr>
      </w:pPr>
      <w:r w:rsidRPr="00582113">
        <w:rPr>
          <w:sz w:val="20"/>
          <w:szCs w:val="20"/>
        </w:rPr>
        <w:t>Introduction</w:t>
      </w:r>
    </w:p>
    <w:p w14:paraId="19F3CE26" w14:textId="172235E2" w:rsidR="005C50FF" w:rsidRDefault="003F057A" w:rsidP="00D156FE">
      <w:pPr>
        <w:pStyle w:val="DDLBodyText"/>
        <w:rPr>
          <w:sz w:val="20"/>
        </w:rPr>
      </w:pPr>
      <w:r>
        <w:rPr>
          <w:sz w:val="20"/>
        </w:rPr>
        <w:t>Isothermal Dry Particle Coating (iDPC</w:t>
      </w:r>
      <w:r w:rsidR="005B7287">
        <w:rPr>
          <w:rFonts w:cs="Arial"/>
          <w:sz w:val="20"/>
        </w:rPr>
        <w:t>™</w:t>
      </w:r>
      <w:r>
        <w:rPr>
          <w:sz w:val="20"/>
        </w:rPr>
        <w:t xml:space="preserve">) </w:t>
      </w:r>
      <w:r w:rsidR="00A84CD0" w:rsidRPr="00B86405">
        <w:rPr>
          <w:sz w:val="20"/>
        </w:rPr>
        <w:t>is a</w:t>
      </w:r>
      <w:r w:rsidR="00AE6835">
        <w:rPr>
          <w:sz w:val="20"/>
        </w:rPr>
        <w:t xml:space="preserve"> novel advanced manufacturing technology for </w:t>
      </w:r>
      <w:r w:rsidR="007A11C3">
        <w:rPr>
          <w:sz w:val="20"/>
        </w:rPr>
        <w:t xml:space="preserve">the </w:t>
      </w:r>
      <w:r w:rsidR="00AE6835">
        <w:rPr>
          <w:sz w:val="20"/>
        </w:rPr>
        <w:t>manufacture of</w:t>
      </w:r>
      <w:r>
        <w:rPr>
          <w:sz w:val="20"/>
        </w:rPr>
        <w:t xml:space="preserve"> dry powder inhaler</w:t>
      </w:r>
      <w:r w:rsidR="008E6B73">
        <w:rPr>
          <w:sz w:val="20"/>
        </w:rPr>
        <w:t>s</w:t>
      </w:r>
      <w:r w:rsidR="00A84CD0" w:rsidRPr="00B86405">
        <w:rPr>
          <w:sz w:val="20"/>
        </w:rPr>
        <w:t xml:space="preserve"> </w:t>
      </w:r>
      <w:r>
        <w:rPr>
          <w:sz w:val="20"/>
        </w:rPr>
        <w:t>(</w:t>
      </w:r>
      <w:r w:rsidR="00A84CD0" w:rsidRPr="00B86405">
        <w:rPr>
          <w:sz w:val="20"/>
        </w:rPr>
        <w:t>DPI</w:t>
      </w:r>
      <w:r w:rsidR="00730308">
        <w:rPr>
          <w:sz w:val="20"/>
        </w:rPr>
        <w:t>s</w:t>
      </w:r>
      <w:r w:rsidR="008E6B73">
        <w:rPr>
          <w:sz w:val="20"/>
        </w:rPr>
        <w:t>)</w:t>
      </w:r>
      <w:r w:rsidR="007365E1">
        <w:rPr>
          <w:sz w:val="20"/>
        </w:rPr>
        <w:t xml:space="preserve">, </w:t>
      </w:r>
      <w:r w:rsidR="00A84CD0" w:rsidRPr="00B86405">
        <w:rPr>
          <w:sz w:val="20"/>
        </w:rPr>
        <w:t xml:space="preserve">The technology </w:t>
      </w:r>
      <w:r w:rsidR="00E52F52" w:rsidRPr="00B86405">
        <w:rPr>
          <w:sz w:val="20"/>
        </w:rPr>
        <w:t xml:space="preserve">utilises a high-speed rotating vessel </w:t>
      </w:r>
      <w:r w:rsidR="00A84CD0" w:rsidRPr="00B86405">
        <w:rPr>
          <w:sz w:val="20"/>
        </w:rPr>
        <w:t>coupled to a fluidising air-blade</w:t>
      </w:r>
      <w:r w:rsidR="0065191E">
        <w:rPr>
          <w:sz w:val="20"/>
        </w:rPr>
        <w:t>. It</w:t>
      </w:r>
      <w:r w:rsidR="00F15A30">
        <w:rPr>
          <w:sz w:val="20"/>
        </w:rPr>
        <w:t xml:space="preserve"> requir</w:t>
      </w:r>
      <w:r w:rsidR="0065191E">
        <w:rPr>
          <w:sz w:val="20"/>
        </w:rPr>
        <w:t>es</w:t>
      </w:r>
      <w:r w:rsidR="00F15A30">
        <w:rPr>
          <w:sz w:val="20"/>
        </w:rPr>
        <w:t xml:space="preserve"> no solvents or heat input</w:t>
      </w:r>
      <w:r w:rsidR="008557C1" w:rsidRPr="008557C1">
        <w:rPr>
          <w:sz w:val="20"/>
        </w:rPr>
        <w:t xml:space="preserve"> </w:t>
      </w:r>
      <w:r w:rsidR="0065191E">
        <w:rPr>
          <w:sz w:val="20"/>
        </w:rPr>
        <w:t>and</w:t>
      </w:r>
      <w:r w:rsidR="008557C1">
        <w:rPr>
          <w:sz w:val="20"/>
        </w:rPr>
        <w:t xml:space="preserve"> operates at ambient temperature</w:t>
      </w:r>
      <w:r w:rsidR="00F15A30">
        <w:rPr>
          <w:sz w:val="20"/>
        </w:rPr>
        <w:t>,</w:t>
      </w:r>
      <w:r w:rsidR="007204EC">
        <w:rPr>
          <w:sz w:val="20"/>
        </w:rPr>
        <w:t xml:space="preserve"> </w:t>
      </w:r>
      <w:r w:rsidR="007A11C3">
        <w:rPr>
          <w:sz w:val="20"/>
        </w:rPr>
        <w:t>creating an</w:t>
      </w:r>
      <w:r w:rsidR="007204EC">
        <w:rPr>
          <w:sz w:val="20"/>
        </w:rPr>
        <w:t xml:space="preserve"> </w:t>
      </w:r>
      <w:r w:rsidR="0065191E">
        <w:rPr>
          <w:sz w:val="20"/>
        </w:rPr>
        <w:t>ultra-low</w:t>
      </w:r>
      <w:r w:rsidR="007204EC">
        <w:rPr>
          <w:sz w:val="20"/>
        </w:rPr>
        <w:t xml:space="preserve"> shear manufacturing environment</w:t>
      </w:r>
      <w:r w:rsidR="006F767B">
        <w:rPr>
          <w:sz w:val="20"/>
        </w:rPr>
        <w:t xml:space="preserve"> </w:t>
      </w:r>
      <w:r w:rsidR="00A84CD0" w:rsidRPr="006F767B">
        <w:rPr>
          <w:sz w:val="20"/>
        </w:rPr>
        <w:t>[</w:t>
      </w:r>
      <w:r w:rsidR="00444B9D" w:rsidRPr="006F767B">
        <w:rPr>
          <w:sz w:val="20"/>
        </w:rPr>
        <w:t>1</w:t>
      </w:r>
      <w:r w:rsidR="00A84CD0" w:rsidRPr="006F767B">
        <w:rPr>
          <w:sz w:val="20"/>
        </w:rPr>
        <w:t>]</w:t>
      </w:r>
      <w:r w:rsidR="00A84CD0" w:rsidRPr="00B86405">
        <w:rPr>
          <w:sz w:val="20"/>
        </w:rPr>
        <w:t xml:space="preserve">. </w:t>
      </w:r>
      <w:r>
        <w:rPr>
          <w:sz w:val="20"/>
        </w:rPr>
        <w:t xml:space="preserve"> A schematic </w:t>
      </w:r>
      <w:r w:rsidR="00765AE1">
        <w:rPr>
          <w:sz w:val="20"/>
        </w:rPr>
        <w:t>of the process</w:t>
      </w:r>
      <w:r>
        <w:rPr>
          <w:sz w:val="20"/>
        </w:rPr>
        <w:t xml:space="preserve"> is shown</w:t>
      </w:r>
      <w:r w:rsidRPr="00B86405">
        <w:rPr>
          <w:sz w:val="20"/>
        </w:rPr>
        <w:t xml:space="preserve"> in Figure 1</w:t>
      </w:r>
      <w:r w:rsidR="006E2942">
        <w:rPr>
          <w:sz w:val="20"/>
        </w:rPr>
        <w:t xml:space="preserve">. The operating principle of iDPC is termed thin layer fluidisation, encompassing three </w:t>
      </w:r>
      <w:r w:rsidR="00A84CD0" w:rsidRPr="00B86405">
        <w:rPr>
          <w:sz w:val="20"/>
        </w:rPr>
        <w:t>critical steps: 1) deagglomeration of API and carrier into individual particles; 2) dispersion of fine API particles through the coarse</w:t>
      </w:r>
      <w:r w:rsidR="0065191E">
        <w:rPr>
          <w:sz w:val="20"/>
        </w:rPr>
        <w:t>r</w:t>
      </w:r>
      <w:r w:rsidR="00A84CD0" w:rsidRPr="00B86405">
        <w:rPr>
          <w:sz w:val="20"/>
        </w:rPr>
        <w:t xml:space="preserve"> particles and 3) adsorption of the fine API particles onto the surface of the carrier particles. The fluidisation of the powders in a centrifugal field during blending renders the process low shear as there is little </w:t>
      </w:r>
      <w:r w:rsidR="0065191E">
        <w:rPr>
          <w:sz w:val="20"/>
        </w:rPr>
        <w:t xml:space="preserve">highly energetic </w:t>
      </w:r>
      <w:r w:rsidR="00A84CD0" w:rsidRPr="00B86405">
        <w:rPr>
          <w:sz w:val="20"/>
        </w:rPr>
        <w:t xml:space="preserve">solid/solid </w:t>
      </w:r>
      <w:r w:rsidR="0065191E">
        <w:rPr>
          <w:sz w:val="20"/>
        </w:rPr>
        <w:t xml:space="preserve">interaction or </w:t>
      </w:r>
      <w:r w:rsidR="00A84CD0" w:rsidRPr="00B86405">
        <w:rPr>
          <w:sz w:val="20"/>
        </w:rPr>
        <w:t xml:space="preserve">friction, little/no heat generation and no triboelectrification of the powders. </w:t>
      </w:r>
    </w:p>
    <w:p w14:paraId="055863C7" w14:textId="34ED6FCE" w:rsidR="003D0000" w:rsidRDefault="009E1F58" w:rsidP="00D156FE">
      <w:pPr>
        <w:pStyle w:val="DDLBodyText"/>
        <w:rPr>
          <w:sz w:val="20"/>
        </w:rPr>
      </w:pPr>
      <w:r>
        <w:rPr>
          <w:sz w:val="20"/>
        </w:rPr>
        <w:t xml:space="preserve">High </w:t>
      </w:r>
      <w:r w:rsidR="001B45C9">
        <w:rPr>
          <w:sz w:val="20"/>
        </w:rPr>
        <w:t>dose administration of APIs to the lung offer</w:t>
      </w:r>
      <w:r w:rsidR="0065191E">
        <w:rPr>
          <w:sz w:val="20"/>
        </w:rPr>
        <w:t>s</w:t>
      </w:r>
      <w:r w:rsidR="001B45C9">
        <w:rPr>
          <w:sz w:val="20"/>
        </w:rPr>
        <w:t xml:space="preserve"> advantages for the</w:t>
      </w:r>
      <w:r w:rsidR="007365E1">
        <w:rPr>
          <w:sz w:val="20"/>
        </w:rPr>
        <w:t xml:space="preserve"> direct</w:t>
      </w:r>
      <w:r w:rsidR="001B45C9">
        <w:rPr>
          <w:sz w:val="20"/>
        </w:rPr>
        <w:t xml:space="preserve"> treatment of </w:t>
      </w:r>
      <w:r w:rsidR="007365E1">
        <w:rPr>
          <w:sz w:val="20"/>
        </w:rPr>
        <w:t>a range of respiratory conditions including</w:t>
      </w:r>
      <w:r w:rsidR="001B45C9">
        <w:rPr>
          <w:sz w:val="20"/>
        </w:rPr>
        <w:t xml:space="preserve"> infection</w:t>
      </w:r>
      <w:r w:rsidR="007365E1">
        <w:rPr>
          <w:sz w:val="20"/>
        </w:rPr>
        <w:t xml:space="preserve">, cystic </w:t>
      </w:r>
      <w:proofErr w:type="gramStart"/>
      <w:r w:rsidR="007365E1">
        <w:rPr>
          <w:sz w:val="20"/>
        </w:rPr>
        <w:t>fibrosis</w:t>
      </w:r>
      <w:proofErr w:type="gramEnd"/>
      <w:r w:rsidR="007365E1">
        <w:rPr>
          <w:sz w:val="20"/>
        </w:rPr>
        <w:t xml:space="preserve"> and lung cancer, with systemic treatment also possible</w:t>
      </w:r>
      <w:r w:rsidR="0002064E">
        <w:rPr>
          <w:sz w:val="20"/>
        </w:rPr>
        <w:t xml:space="preserve"> </w:t>
      </w:r>
      <w:r w:rsidR="001B45C9" w:rsidRPr="0002064E">
        <w:rPr>
          <w:sz w:val="20"/>
        </w:rPr>
        <w:t>[2].</w:t>
      </w:r>
      <w:r w:rsidR="006B0F99">
        <w:rPr>
          <w:sz w:val="20"/>
        </w:rPr>
        <w:t xml:space="preserve"> However, delivering high doses of APIs to the lung presents challenges as the low </w:t>
      </w:r>
      <w:r w:rsidR="007365E1">
        <w:rPr>
          <w:sz w:val="20"/>
        </w:rPr>
        <w:t>potency</w:t>
      </w:r>
      <w:r w:rsidR="006B0F99">
        <w:rPr>
          <w:sz w:val="20"/>
        </w:rPr>
        <w:t xml:space="preserve"> of APIs requires patients to inhale large </w:t>
      </w:r>
      <w:r w:rsidR="007A11C3">
        <w:rPr>
          <w:sz w:val="20"/>
        </w:rPr>
        <w:t xml:space="preserve">lung doses </w:t>
      </w:r>
      <w:r w:rsidR="006B0F99">
        <w:rPr>
          <w:sz w:val="20"/>
        </w:rPr>
        <w:t>of powder</w:t>
      </w:r>
      <w:r w:rsidR="00736974">
        <w:rPr>
          <w:sz w:val="20"/>
        </w:rPr>
        <w:t xml:space="preserve"> to effectively treat the disease</w:t>
      </w:r>
      <w:r w:rsidR="00BB136C">
        <w:rPr>
          <w:sz w:val="20"/>
        </w:rPr>
        <w:t xml:space="preserve"> </w:t>
      </w:r>
      <w:r w:rsidR="006B0F99" w:rsidRPr="00BB136C">
        <w:rPr>
          <w:sz w:val="20"/>
        </w:rPr>
        <w:t>[3]</w:t>
      </w:r>
      <w:r w:rsidR="006B0F99">
        <w:rPr>
          <w:sz w:val="20"/>
        </w:rPr>
        <w:t>.</w:t>
      </w:r>
      <w:r w:rsidR="00922C6A">
        <w:rPr>
          <w:sz w:val="20"/>
        </w:rPr>
        <w:t xml:space="preserve"> </w:t>
      </w:r>
      <w:r w:rsidR="002F7BAD">
        <w:rPr>
          <w:sz w:val="20"/>
        </w:rPr>
        <w:t xml:space="preserve">As fine particles are cohesive and have a tendency to agglomerate, a significant challenge </w:t>
      </w:r>
      <w:r w:rsidR="00736974">
        <w:rPr>
          <w:sz w:val="20"/>
        </w:rPr>
        <w:t xml:space="preserve">arises in </w:t>
      </w:r>
      <w:r w:rsidR="00B545C5">
        <w:rPr>
          <w:sz w:val="20"/>
        </w:rPr>
        <w:t xml:space="preserve">their </w:t>
      </w:r>
      <w:r w:rsidR="0065191E">
        <w:rPr>
          <w:sz w:val="20"/>
        </w:rPr>
        <w:t xml:space="preserve">deagglomeration </w:t>
      </w:r>
      <w:r w:rsidR="00736974">
        <w:rPr>
          <w:sz w:val="20"/>
        </w:rPr>
        <w:t>and dispersi</w:t>
      </w:r>
      <w:r w:rsidR="0065191E">
        <w:rPr>
          <w:sz w:val="20"/>
        </w:rPr>
        <w:t>on</w:t>
      </w:r>
      <w:r w:rsidR="00B545C5">
        <w:rPr>
          <w:sz w:val="20"/>
        </w:rPr>
        <w:t xml:space="preserve"> even at low concentration. At high concentration, standard shear blending techniques are </w:t>
      </w:r>
      <w:proofErr w:type="gramStart"/>
      <w:r w:rsidR="00F62BF2">
        <w:rPr>
          <w:sz w:val="20"/>
        </w:rPr>
        <w:t>unsuitable</w:t>
      </w:r>
      <w:proofErr w:type="gramEnd"/>
      <w:r w:rsidR="00F62BF2">
        <w:rPr>
          <w:sz w:val="20"/>
        </w:rPr>
        <w:t xml:space="preserve"> </w:t>
      </w:r>
      <w:r w:rsidR="00A900A8">
        <w:rPr>
          <w:sz w:val="20"/>
        </w:rPr>
        <w:t>so industry has moved</w:t>
      </w:r>
      <w:r w:rsidR="00B545C5">
        <w:rPr>
          <w:sz w:val="20"/>
        </w:rPr>
        <w:t xml:space="preserve"> towards smart particles prepared by </w:t>
      </w:r>
      <w:r w:rsidR="0079094A">
        <w:rPr>
          <w:sz w:val="20"/>
        </w:rPr>
        <w:t>techniques such as spray drying</w:t>
      </w:r>
      <w:r w:rsidR="003903CD">
        <w:rPr>
          <w:sz w:val="20"/>
        </w:rPr>
        <w:t xml:space="preserve"> </w:t>
      </w:r>
      <w:r w:rsidR="002F7BAD" w:rsidRPr="003903CD">
        <w:rPr>
          <w:sz w:val="20"/>
        </w:rPr>
        <w:t>[4]</w:t>
      </w:r>
      <w:r w:rsidR="002F7BAD">
        <w:rPr>
          <w:sz w:val="20"/>
        </w:rPr>
        <w:t>.</w:t>
      </w:r>
      <w:r w:rsidR="007708EB">
        <w:rPr>
          <w:sz w:val="20"/>
        </w:rPr>
        <w:t xml:space="preserve"> </w:t>
      </w:r>
      <w:r w:rsidR="00B545C5">
        <w:rPr>
          <w:sz w:val="20"/>
        </w:rPr>
        <w:t xml:space="preserve">In contrast </w:t>
      </w:r>
      <w:r w:rsidR="007708EB">
        <w:rPr>
          <w:sz w:val="20"/>
        </w:rPr>
        <w:t>iDPC</w:t>
      </w:r>
      <w:r w:rsidR="00755594">
        <w:rPr>
          <w:sz w:val="20"/>
        </w:rPr>
        <w:t xml:space="preserve">, </w:t>
      </w:r>
      <w:r w:rsidR="00B545C5">
        <w:rPr>
          <w:sz w:val="20"/>
        </w:rPr>
        <w:t>is designed to handle high levels of cohesive materials with traditional carrier materials</w:t>
      </w:r>
      <w:r w:rsidR="003903CD">
        <w:rPr>
          <w:sz w:val="20"/>
        </w:rPr>
        <w:t xml:space="preserve"> </w:t>
      </w:r>
      <w:r w:rsidR="00B545C5" w:rsidRPr="003903CD">
        <w:rPr>
          <w:sz w:val="20"/>
        </w:rPr>
        <w:t>[5</w:t>
      </w:r>
      <w:r w:rsidR="00703D0F" w:rsidRPr="003903CD">
        <w:rPr>
          <w:sz w:val="20"/>
        </w:rPr>
        <w:t>]</w:t>
      </w:r>
      <w:r w:rsidR="00703D0F">
        <w:rPr>
          <w:sz w:val="20"/>
        </w:rPr>
        <w:t>.</w:t>
      </w:r>
      <w:r w:rsidR="00755594">
        <w:rPr>
          <w:sz w:val="20"/>
        </w:rPr>
        <w:t xml:space="preserve"> </w:t>
      </w:r>
    </w:p>
    <w:p w14:paraId="47B6DDC7" w14:textId="77777777" w:rsidR="002B450B" w:rsidRPr="00903984" w:rsidRDefault="002B450B" w:rsidP="002B450B">
      <w:pPr>
        <w:pStyle w:val="DDLBodyText"/>
        <w:rPr>
          <w:sz w:val="20"/>
          <w:szCs w:val="22"/>
        </w:rPr>
      </w:pPr>
      <w:r>
        <w:rPr>
          <w:sz w:val="20"/>
        </w:rPr>
        <w:t>In this study, the performance of high concentration (75%</w:t>
      </w:r>
      <w:r w:rsidRPr="001571E8">
        <w:rPr>
          <w:sz w:val="20"/>
          <w:vertAlign w:val="superscript"/>
        </w:rPr>
        <w:t>w</w:t>
      </w:r>
      <w:r>
        <w:rPr>
          <w:sz w:val="20"/>
        </w:rPr>
        <w:t>/</w:t>
      </w:r>
      <w:r w:rsidRPr="001571E8">
        <w:rPr>
          <w:sz w:val="20"/>
          <w:vertAlign w:val="subscript"/>
        </w:rPr>
        <w:t>w</w:t>
      </w:r>
      <w:r w:rsidRPr="006D6212">
        <w:rPr>
          <w:sz w:val="20"/>
        </w:rPr>
        <w:t>)</w:t>
      </w:r>
      <w:r>
        <w:rPr>
          <w:sz w:val="20"/>
        </w:rPr>
        <w:t xml:space="preserve"> formulations </w:t>
      </w:r>
      <w:r w:rsidRPr="00B86405">
        <w:rPr>
          <w:sz w:val="20"/>
        </w:rPr>
        <w:t xml:space="preserve">was </w:t>
      </w:r>
      <w:r>
        <w:rPr>
          <w:sz w:val="20"/>
        </w:rPr>
        <w:t xml:space="preserve">investigated using variants of </w:t>
      </w:r>
      <w:proofErr w:type="spellStart"/>
      <w:r>
        <w:rPr>
          <w:sz w:val="20"/>
        </w:rPr>
        <w:t>Monodose</w:t>
      </w:r>
      <w:proofErr w:type="spellEnd"/>
      <w:r>
        <w:rPr>
          <w:sz w:val="20"/>
        </w:rPr>
        <w:t xml:space="preserve"> RS01™ Inhaler using different device and capsule sizes, and different capsule fill volumes.  </w:t>
      </w:r>
    </w:p>
    <w:p w14:paraId="393BD714" w14:textId="77777777" w:rsidR="002B450B" w:rsidRDefault="002B450B" w:rsidP="00D156FE">
      <w:pPr>
        <w:pStyle w:val="DDLBodyText"/>
        <w:rPr>
          <w:sz w:val="20"/>
        </w:rPr>
      </w:pPr>
    </w:p>
    <w:p w14:paraId="7F2CC3BD" w14:textId="5545AA9D" w:rsidR="00BB6441" w:rsidRDefault="001048F4" w:rsidP="001571E8">
      <w:pPr>
        <w:pStyle w:val="DDLBodyText"/>
        <w:jc w:val="center"/>
        <w:rPr>
          <w:sz w:val="20"/>
        </w:rPr>
      </w:pPr>
      <w:r>
        <w:rPr>
          <w:noProof/>
          <w:sz w:val="20"/>
        </w:rPr>
        <w:drawing>
          <wp:inline distT="0" distB="0" distL="0" distR="0" wp14:anchorId="3DEC782E" wp14:editId="022A338A">
            <wp:extent cx="4005527" cy="2576512"/>
            <wp:effectExtent l="0" t="0" r="0" b="0"/>
            <wp:docPr id="1214143196" name="Picture 1214143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011958" cy="2580649"/>
                    </a:xfrm>
                    <a:prstGeom prst="rect">
                      <a:avLst/>
                    </a:prstGeom>
                    <a:noFill/>
                  </pic:spPr>
                </pic:pic>
              </a:graphicData>
            </a:graphic>
          </wp:inline>
        </w:drawing>
      </w:r>
    </w:p>
    <w:p w14:paraId="2033EE9A" w14:textId="0F846E92" w:rsidR="00BB6441" w:rsidRDefault="00BB6441" w:rsidP="00BB6441">
      <w:pPr>
        <w:pStyle w:val="DDLHeading1"/>
        <w:jc w:val="center"/>
        <w:rPr>
          <w:b w:val="0"/>
          <w:bCs w:val="0"/>
          <w:szCs w:val="18"/>
        </w:rPr>
      </w:pPr>
      <w:r w:rsidRPr="00546DCF">
        <w:rPr>
          <w:szCs w:val="18"/>
        </w:rPr>
        <w:t xml:space="preserve">Figure </w:t>
      </w:r>
      <w:r w:rsidRPr="00546DCF">
        <w:rPr>
          <w:szCs w:val="18"/>
        </w:rPr>
        <w:fldChar w:fldCharType="begin"/>
      </w:r>
      <w:r w:rsidRPr="00546DCF">
        <w:rPr>
          <w:szCs w:val="18"/>
        </w:rPr>
        <w:instrText xml:space="preserve"> SEQ Figure \* ARABIC </w:instrText>
      </w:r>
      <w:r w:rsidRPr="00546DCF">
        <w:rPr>
          <w:szCs w:val="18"/>
        </w:rPr>
        <w:fldChar w:fldCharType="separate"/>
      </w:r>
      <w:r w:rsidR="00C34FDF">
        <w:rPr>
          <w:noProof/>
          <w:szCs w:val="18"/>
        </w:rPr>
        <w:t>1</w:t>
      </w:r>
      <w:r w:rsidRPr="00546DCF">
        <w:rPr>
          <w:szCs w:val="18"/>
        </w:rPr>
        <w:fldChar w:fldCharType="end"/>
      </w:r>
      <w:r w:rsidRPr="00546DCF">
        <w:rPr>
          <w:szCs w:val="18"/>
        </w:rPr>
        <w:t xml:space="preserve">. </w:t>
      </w:r>
      <w:r w:rsidRPr="00546DCF">
        <w:rPr>
          <w:b w:val="0"/>
          <w:bCs w:val="0"/>
          <w:szCs w:val="18"/>
        </w:rPr>
        <w:t>Schematic diagram of the three critical steps in the dry particle coating process</w:t>
      </w:r>
    </w:p>
    <w:p w14:paraId="57DCC0F5" w14:textId="75C17FDA" w:rsidR="00966CD3" w:rsidRDefault="002B441A" w:rsidP="00D156FE">
      <w:pPr>
        <w:pStyle w:val="DDLHeading1"/>
        <w:rPr>
          <w:sz w:val="20"/>
          <w:szCs w:val="20"/>
        </w:rPr>
      </w:pPr>
      <w:r>
        <w:rPr>
          <w:sz w:val="20"/>
          <w:szCs w:val="20"/>
        </w:rPr>
        <w:t>Experimental Materials and Methods</w:t>
      </w:r>
    </w:p>
    <w:p w14:paraId="1B52BE24" w14:textId="1FFA1F53" w:rsidR="002B441A" w:rsidRDefault="002B441A" w:rsidP="002B441A">
      <w:pPr>
        <w:pStyle w:val="DDLBodyText"/>
        <w:rPr>
          <w:b/>
          <w:bCs/>
          <w:sz w:val="20"/>
          <w:szCs w:val="22"/>
        </w:rPr>
      </w:pPr>
      <w:r>
        <w:rPr>
          <w:b/>
          <w:bCs/>
          <w:sz w:val="20"/>
          <w:szCs w:val="22"/>
        </w:rPr>
        <w:t>Materials</w:t>
      </w:r>
    </w:p>
    <w:p w14:paraId="1772957C" w14:textId="74925032" w:rsidR="002B441A" w:rsidRDefault="002F18E5" w:rsidP="002B441A">
      <w:pPr>
        <w:pStyle w:val="DDLBodyText"/>
        <w:rPr>
          <w:sz w:val="20"/>
          <w:szCs w:val="22"/>
        </w:rPr>
      </w:pPr>
      <w:r>
        <w:rPr>
          <w:rStyle w:val="normaltextrun"/>
          <w:rFonts w:cs="Arial"/>
          <w:color w:val="000000"/>
          <w:sz w:val="20"/>
          <w:shd w:val="clear" w:color="auto" w:fill="FFFFFF"/>
        </w:rPr>
        <w:t>Micronised fluticasone propionate (FP) (d</w:t>
      </w:r>
      <w:r>
        <w:rPr>
          <w:rStyle w:val="normaltextrun"/>
          <w:rFonts w:cs="Arial"/>
          <w:color w:val="000000"/>
          <w:sz w:val="16"/>
          <w:szCs w:val="16"/>
          <w:shd w:val="clear" w:color="auto" w:fill="FFFFFF"/>
          <w:vertAlign w:val="subscript"/>
        </w:rPr>
        <w:t>50</w:t>
      </w:r>
      <w:r>
        <w:rPr>
          <w:rStyle w:val="normaltextrun"/>
          <w:rFonts w:cs="Arial"/>
          <w:color w:val="000000"/>
          <w:sz w:val="20"/>
          <w:shd w:val="clear" w:color="auto" w:fill="FFFFFF"/>
        </w:rPr>
        <w:t xml:space="preserve"> – 2.47 </w:t>
      </w:r>
      <w:proofErr w:type="spellStart"/>
      <w:r>
        <w:rPr>
          <w:rStyle w:val="normaltextrun"/>
          <w:rFonts w:cs="Arial"/>
          <w:color w:val="000000"/>
          <w:sz w:val="20"/>
          <w:shd w:val="clear" w:color="auto" w:fill="FFFFFF"/>
        </w:rPr>
        <w:t>μm</w:t>
      </w:r>
      <w:proofErr w:type="spellEnd"/>
      <w:r>
        <w:rPr>
          <w:rStyle w:val="normaltextrun"/>
          <w:rFonts w:cs="Arial"/>
          <w:color w:val="000000"/>
          <w:sz w:val="20"/>
          <w:shd w:val="clear" w:color="auto" w:fill="FFFFFF"/>
        </w:rPr>
        <w:t xml:space="preserve"> ± 0.12 </w:t>
      </w:r>
      <w:proofErr w:type="spellStart"/>
      <w:r>
        <w:rPr>
          <w:rStyle w:val="normaltextrun"/>
          <w:rFonts w:cs="Arial"/>
          <w:color w:val="000000"/>
          <w:sz w:val="20"/>
          <w:shd w:val="clear" w:color="auto" w:fill="FFFFFF"/>
        </w:rPr>
        <w:t>μm</w:t>
      </w:r>
      <w:proofErr w:type="spellEnd"/>
      <w:r>
        <w:rPr>
          <w:rStyle w:val="normaltextrun"/>
          <w:rFonts w:cs="Arial"/>
          <w:color w:val="000000"/>
          <w:sz w:val="20"/>
          <w:shd w:val="clear" w:color="auto" w:fill="FFFFFF"/>
        </w:rPr>
        <w:t>) (Sterling S.p.A, Italy) and salmeterol xinafoate (SX) (d</w:t>
      </w:r>
      <w:r>
        <w:rPr>
          <w:rStyle w:val="normaltextrun"/>
          <w:rFonts w:cs="Arial"/>
          <w:color w:val="000000"/>
          <w:sz w:val="16"/>
          <w:szCs w:val="16"/>
          <w:shd w:val="clear" w:color="auto" w:fill="FFFFFF"/>
          <w:vertAlign w:val="subscript"/>
        </w:rPr>
        <w:t>50</w:t>
      </w:r>
      <w:r>
        <w:rPr>
          <w:rStyle w:val="normaltextrun"/>
          <w:rFonts w:cs="Arial"/>
          <w:color w:val="000000"/>
          <w:sz w:val="20"/>
          <w:shd w:val="clear" w:color="auto" w:fill="FFFFFF"/>
        </w:rPr>
        <w:t xml:space="preserve"> – 1.73 μm ± 0.03 μm) (Discovery Fine Chemicals, UK) were used as model </w:t>
      </w:r>
      <w:r w:rsidR="00D34037">
        <w:rPr>
          <w:rStyle w:val="normaltextrun"/>
          <w:rFonts w:cs="Arial"/>
          <w:color w:val="000000"/>
          <w:sz w:val="20"/>
          <w:shd w:val="clear" w:color="auto" w:fill="FFFFFF"/>
        </w:rPr>
        <w:t>active pharmaceutical ingredients (</w:t>
      </w:r>
      <w:r>
        <w:rPr>
          <w:rStyle w:val="normaltextrun"/>
          <w:rFonts w:cs="Arial"/>
          <w:color w:val="000000"/>
          <w:sz w:val="20"/>
          <w:shd w:val="clear" w:color="auto" w:fill="FFFFFF"/>
        </w:rPr>
        <w:t>APIs</w:t>
      </w:r>
      <w:r w:rsidR="00D34037">
        <w:rPr>
          <w:rStyle w:val="normaltextrun"/>
          <w:rFonts w:cs="Arial"/>
          <w:color w:val="000000"/>
          <w:sz w:val="20"/>
          <w:shd w:val="clear" w:color="auto" w:fill="FFFFFF"/>
        </w:rPr>
        <w:t>)</w:t>
      </w:r>
      <w:r w:rsidR="002B441A" w:rsidRPr="002B441A">
        <w:rPr>
          <w:sz w:val="20"/>
          <w:szCs w:val="22"/>
        </w:rPr>
        <w:t>. Alpha-lactose monohydrate (</w:t>
      </w:r>
      <w:bookmarkStart w:id="2" w:name="_Hlk140752234"/>
      <w:r w:rsidR="00DC319C">
        <w:rPr>
          <w:sz w:val="20"/>
          <w:szCs w:val="22"/>
        </w:rPr>
        <w:t>Lactohale</w:t>
      </w:r>
      <w:r w:rsidR="00DC319C" w:rsidRPr="00DC319C">
        <w:rPr>
          <w:rFonts w:cs="Arial"/>
          <w:sz w:val="20"/>
          <w:szCs w:val="22"/>
          <w:vertAlign w:val="superscript"/>
        </w:rPr>
        <w:t>®</w:t>
      </w:r>
      <w:r w:rsidR="00DC319C">
        <w:rPr>
          <w:sz w:val="20"/>
          <w:szCs w:val="22"/>
        </w:rPr>
        <w:t xml:space="preserve"> </w:t>
      </w:r>
      <w:r>
        <w:rPr>
          <w:sz w:val="20"/>
          <w:szCs w:val="22"/>
        </w:rPr>
        <w:t>1</w:t>
      </w:r>
      <w:r w:rsidR="00DC319C">
        <w:rPr>
          <w:sz w:val="20"/>
          <w:szCs w:val="22"/>
        </w:rPr>
        <w:t>00</w:t>
      </w:r>
      <w:r w:rsidR="007776B3">
        <w:rPr>
          <w:sz w:val="20"/>
          <w:szCs w:val="22"/>
        </w:rPr>
        <w:t xml:space="preserve"> </w:t>
      </w:r>
      <w:bookmarkEnd w:id="2"/>
      <w:r w:rsidR="007776B3">
        <w:rPr>
          <w:sz w:val="20"/>
          <w:szCs w:val="22"/>
        </w:rPr>
        <w:t>(LH100)</w:t>
      </w:r>
      <w:r w:rsidR="002B441A" w:rsidRPr="002B441A">
        <w:rPr>
          <w:sz w:val="20"/>
          <w:szCs w:val="22"/>
        </w:rPr>
        <w:t xml:space="preserve">, DFE Pharma, Goch, Germany) </w:t>
      </w:r>
      <w:r w:rsidR="00AB0CAB">
        <w:rPr>
          <w:sz w:val="20"/>
          <w:szCs w:val="22"/>
        </w:rPr>
        <w:t>and spray-dried mannitol (Pearlitol</w:t>
      </w:r>
      <w:r w:rsidR="00AB0CAB" w:rsidRPr="00DC319C">
        <w:rPr>
          <w:rFonts w:cs="Arial"/>
          <w:sz w:val="20"/>
          <w:szCs w:val="22"/>
          <w:vertAlign w:val="superscript"/>
        </w:rPr>
        <w:t>®</w:t>
      </w:r>
      <w:r w:rsidR="00AB0CAB">
        <w:rPr>
          <w:rFonts w:cs="Arial"/>
          <w:sz w:val="20"/>
          <w:szCs w:val="22"/>
          <w:vertAlign w:val="superscript"/>
        </w:rPr>
        <w:t xml:space="preserve"> </w:t>
      </w:r>
      <w:r w:rsidR="00AB0CAB">
        <w:rPr>
          <w:rFonts w:cs="Arial"/>
          <w:sz w:val="20"/>
          <w:szCs w:val="22"/>
        </w:rPr>
        <w:t xml:space="preserve">200SD (P200SD), Roquette, Lestrem, France) </w:t>
      </w:r>
      <w:r w:rsidR="00AB0CAB" w:rsidRPr="002B441A">
        <w:rPr>
          <w:sz w:val="20"/>
          <w:szCs w:val="22"/>
        </w:rPr>
        <w:t>w</w:t>
      </w:r>
      <w:r w:rsidR="00AB0CAB">
        <w:rPr>
          <w:sz w:val="20"/>
          <w:szCs w:val="22"/>
        </w:rPr>
        <w:t>ere</w:t>
      </w:r>
      <w:r w:rsidR="00AB0CAB" w:rsidRPr="002B441A">
        <w:rPr>
          <w:sz w:val="20"/>
          <w:szCs w:val="22"/>
        </w:rPr>
        <w:t xml:space="preserve"> </w:t>
      </w:r>
      <w:r w:rsidR="002B441A" w:rsidRPr="002B441A">
        <w:rPr>
          <w:sz w:val="20"/>
          <w:szCs w:val="22"/>
        </w:rPr>
        <w:t>used as model carrier</w:t>
      </w:r>
      <w:r w:rsidR="00AB0CAB">
        <w:rPr>
          <w:sz w:val="20"/>
          <w:szCs w:val="22"/>
        </w:rPr>
        <w:t>s</w:t>
      </w:r>
      <w:r w:rsidR="002B441A" w:rsidRPr="002B441A">
        <w:rPr>
          <w:sz w:val="20"/>
          <w:szCs w:val="22"/>
        </w:rPr>
        <w:t xml:space="preserve"> </w:t>
      </w:r>
      <w:r w:rsidR="00AB0CAB">
        <w:rPr>
          <w:sz w:val="20"/>
          <w:szCs w:val="22"/>
        </w:rPr>
        <w:t>in</w:t>
      </w:r>
      <w:r w:rsidR="00DC319C">
        <w:rPr>
          <w:sz w:val="20"/>
          <w:szCs w:val="22"/>
        </w:rPr>
        <w:t xml:space="preserve"> DPI</w:t>
      </w:r>
      <w:r w:rsidR="002B441A" w:rsidRPr="002B441A">
        <w:rPr>
          <w:sz w:val="20"/>
          <w:szCs w:val="22"/>
        </w:rPr>
        <w:t xml:space="preserve"> formulation</w:t>
      </w:r>
      <w:r w:rsidR="007D059F">
        <w:rPr>
          <w:sz w:val="20"/>
          <w:szCs w:val="22"/>
        </w:rPr>
        <w:t>s</w:t>
      </w:r>
      <w:r w:rsidR="00DC319C">
        <w:rPr>
          <w:sz w:val="20"/>
          <w:szCs w:val="22"/>
        </w:rPr>
        <w:t>.</w:t>
      </w:r>
      <w:r>
        <w:rPr>
          <w:sz w:val="20"/>
          <w:szCs w:val="22"/>
        </w:rPr>
        <w:t xml:space="preserve"> </w:t>
      </w:r>
    </w:p>
    <w:p w14:paraId="30D76006" w14:textId="0061C637" w:rsidR="006F6CE6" w:rsidRDefault="006F6CE6" w:rsidP="002B441A">
      <w:pPr>
        <w:pStyle w:val="DDLBodyText"/>
        <w:rPr>
          <w:b/>
          <w:bCs/>
          <w:sz w:val="20"/>
          <w:szCs w:val="22"/>
        </w:rPr>
      </w:pPr>
      <w:r w:rsidRPr="006F6CE6">
        <w:rPr>
          <w:b/>
          <w:bCs/>
          <w:sz w:val="20"/>
          <w:szCs w:val="22"/>
        </w:rPr>
        <w:t>Methods</w:t>
      </w:r>
    </w:p>
    <w:p w14:paraId="05652893" w14:textId="131CA74F" w:rsidR="00D05C16" w:rsidRDefault="50CDFC54" w:rsidP="50CDFC54">
      <w:pPr>
        <w:pStyle w:val="DDLBodyText"/>
        <w:rPr>
          <w:sz w:val="20"/>
        </w:rPr>
      </w:pPr>
      <w:r w:rsidRPr="50CDFC54">
        <w:rPr>
          <w:sz w:val="20"/>
        </w:rPr>
        <w:t>A benchtop iDPC</w:t>
      </w:r>
      <w:r w:rsidR="009B6EDE">
        <w:rPr>
          <w:sz w:val="20"/>
          <w:vertAlign w:val="superscript"/>
        </w:rPr>
        <w:t xml:space="preserve"> </w:t>
      </w:r>
      <w:r w:rsidRPr="50CDFC54">
        <w:rPr>
          <w:sz w:val="20"/>
        </w:rPr>
        <w:t xml:space="preserve">was used to manufacture </w:t>
      </w:r>
      <w:r w:rsidR="00E0484A">
        <w:rPr>
          <w:sz w:val="20"/>
        </w:rPr>
        <w:t>1</w:t>
      </w:r>
      <w:r w:rsidRPr="50CDFC54">
        <w:rPr>
          <w:sz w:val="20"/>
        </w:rPr>
        <w:t>g powder blends of FP</w:t>
      </w:r>
      <w:r w:rsidR="00E0484A">
        <w:rPr>
          <w:sz w:val="20"/>
        </w:rPr>
        <w:t xml:space="preserve"> and SX (75</w:t>
      </w:r>
      <w:r w:rsidR="00E0484A" w:rsidRPr="50CDFC54">
        <w:rPr>
          <w:sz w:val="20"/>
        </w:rPr>
        <w:t xml:space="preserve">% </w:t>
      </w:r>
      <w:r w:rsidR="00E0484A" w:rsidRPr="50CDFC54">
        <w:rPr>
          <w:sz w:val="20"/>
          <w:vertAlign w:val="superscript"/>
        </w:rPr>
        <w:t>w</w:t>
      </w:r>
      <w:r w:rsidR="00E0484A" w:rsidRPr="50CDFC54">
        <w:rPr>
          <w:sz w:val="20"/>
        </w:rPr>
        <w:t>/</w:t>
      </w:r>
      <w:r w:rsidR="00E0484A" w:rsidRPr="50CDFC54">
        <w:rPr>
          <w:sz w:val="20"/>
          <w:vertAlign w:val="subscript"/>
        </w:rPr>
        <w:t>w</w:t>
      </w:r>
      <w:r w:rsidR="00E0484A">
        <w:rPr>
          <w:sz w:val="20"/>
        </w:rPr>
        <w:t xml:space="preserve">) </w:t>
      </w:r>
      <w:r w:rsidR="00AB0CAB">
        <w:rPr>
          <w:sz w:val="20"/>
        </w:rPr>
        <w:t>in</w:t>
      </w:r>
      <w:r w:rsidRPr="50CDFC54">
        <w:rPr>
          <w:sz w:val="20"/>
        </w:rPr>
        <w:t xml:space="preserve"> L</w:t>
      </w:r>
      <w:r w:rsidR="009D101A">
        <w:rPr>
          <w:sz w:val="20"/>
        </w:rPr>
        <w:t>H</w:t>
      </w:r>
      <w:r w:rsidR="00E0484A">
        <w:rPr>
          <w:rFonts w:cs="Arial"/>
          <w:sz w:val="20"/>
        </w:rPr>
        <w:t>1</w:t>
      </w:r>
      <w:r w:rsidRPr="50CDFC54">
        <w:rPr>
          <w:rFonts w:cs="Arial"/>
          <w:sz w:val="20"/>
        </w:rPr>
        <w:t>00</w:t>
      </w:r>
      <w:r w:rsidR="00E0484A">
        <w:rPr>
          <w:rFonts w:cs="Arial"/>
          <w:sz w:val="20"/>
        </w:rPr>
        <w:t xml:space="preserve"> and </w:t>
      </w:r>
      <w:r w:rsidR="00E0484A">
        <w:rPr>
          <w:sz w:val="20"/>
        </w:rPr>
        <w:t>P</w:t>
      </w:r>
      <w:r w:rsidR="00E0484A">
        <w:rPr>
          <w:rFonts w:cs="Arial"/>
          <w:sz w:val="20"/>
        </w:rPr>
        <w:t xml:space="preserve">200SD, respectively. </w:t>
      </w:r>
      <w:r w:rsidR="00884446">
        <w:rPr>
          <w:rFonts w:cs="Arial"/>
          <w:sz w:val="20"/>
        </w:rPr>
        <w:t>F</w:t>
      </w:r>
      <w:r w:rsidRPr="50CDFC54">
        <w:rPr>
          <w:sz w:val="20"/>
        </w:rPr>
        <w:t xml:space="preserve">ormulations were manufactured </w:t>
      </w:r>
      <w:r w:rsidR="00E0484A">
        <w:rPr>
          <w:sz w:val="20"/>
        </w:rPr>
        <w:t>with iDPC process parameters of 1500rpm rotation speed, 10min</w:t>
      </w:r>
      <w:r w:rsidR="00D15B38">
        <w:rPr>
          <w:sz w:val="20"/>
        </w:rPr>
        <w:t>s</w:t>
      </w:r>
      <w:r w:rsidR="00E0484A">
        <w:rPr>
          <w:sz w:val="20"/>
        </w:rPr>
        <w:t xml:space="preserve"> process time and 35L/min </w:t>
      </w:r>
      <w:r w:rsidR="00884446">
        <w:rPr>
          <w:sz w:val="20"/>
        </w:rPr>
        <w:t xml:space="preserve">nitrogen </w:t>
      </w:r>
      <w:r w:rsidR="00E0484A">
        <w:rPr>
          <w:sz w:val="20"/>
        </w:rPr>
        <w:t xml:space="preserve">flow rate. </w:t>
      </w:r>
      <w:r w:rsidRPr="50CDFC54">
        <w:rPr>
          <w:sz w:val="20"/>
        </w:rPr>
        <w:t>Each blend was tested for content uniformity through assay of 10 micro-samples</w:t>
      </w:r>
      <w:r w:rsidR="0018217C">
        <w:rPr>
          <w:sz w:val="20"/>
        </w:rPr>
        <w:t xml:space="preserve">. </w:t>
      </w:r>
      <w:r w:rsidR="00884446">
        <w:rPr>
          <w:sz w:val="20"/>
        </w:rPr>
        <w:t xml:space="preserve">Device performance and </w:t>
      </w:r>
      <w:r w:rsidR="00AB0CAB">
        <w:rPr>
          <w:sz w:val="20"/>
        </w:rPr>
        <w:t>Aerodynamic Particle Size Distribution (A</w:t>
      </w:r>
      <w:r w:rsidR="0018217C">
        <w:rPr>
          <w:sz w:val="20"/>
        </w:rPr>
        <w:t>PSD</w:t>
      </w:r>
      <w:r w:rsidR="00AB0CAB">
        <w:rPr>
          <w:sz w:val="20"/>
        </w:rPr>
        <w:t>)</w:t>
      </w:r>
      <w:r w:rsidR="0018217C">
        <w:rPr>
          <w:sz w:val="20"/>
        </w:rPr>
        <w:t xml:space="preserve"> </w:t>
      </w:r>
      <w:r w:rsidR="00884446">
        <w:rPr>
          <w:sz w:val="20"/>
        </w:rPr>
        <w:t>for each configu</w:t>
      </w:r>
      <w:r w:rsidR="00D15B38">
        <w:rPr>
          <w:sz w:val="20"/>
        </w:rPr>
        <w:t>r</w:t>
      </w:r>
      <w:r w:rsidR="00884446">
        <w:rPr>
          <w:sz w:val="20"/>
        </w:rPr>
        <w:t xml:space="preserve">ation were determined </w:t>
      </w:r>
      <w:r w:rsidR="0018217C">
        <w:rPr>
          <w:sz w:val="20"/>
        </w:rPr>
        <w:t>u</w:t>
      </w:r>
      <w:r w:rsidRPr="50CDFC54">
        <w:rPr>
          <w:sz w:val="20"/>
        </w:rPr>
        <w:t xml:space="preserve">sing a Next Generation Impactor (NGI) (Copley Scientific, Nottingham, UK) and </w:t>
      </w:r>
      <w:r w:rsidR="00E56333">
        <w:rPr>
          <w:sz w:val="20"/>
        </w:rPr>
        <w:t>high-resistance</w:t>
      </w:r>
      <w:r w:rsidRPr="50CDFC54">
        <w:rPr>
          <w:sz w:val="20"/>
        </w:rPr>
        <w:t xml:space="preserve"> </w:t>
      </w:r>
      <w:proofErr w:type="spellStart"/>
      <w:r w:rsidRPr="50CDFC54">
        <w:rPr>
          <w:sz w:val="20"/>
        </w:rPr>
        <w:t>Monodose</w:t>
      </w:r>
      <w:proofErr w:type="spellEnd"/>
      <w:r w:rsidR="00254189">
        <w:rPr>
          <w:rFonts w:cs="Arial"/>
          <w:sz w:val="20"/>
        </w:rPr>
        <w:t xml:space="preserve"> RS01</w:t>
      </w:r>
      <w:r w:rsidRPr="50CDFC54">
        <w:rPr>
          <w:sz w:val="20"/>
        </w:rPr>
        <w:t xml:space="preserve"> (</w:t>
      </w:r>
      <w:r w:rsidR="00823560">
        <w:rPr>
          <w:sz w:val="20"/>
        </w:rPr>
        <w:t>Berry Healthcare</w:t>
      </w:r>
      <w:r w:rsidRPr="50CDFC54">
        <w:rPr>
          <w:sz w:val="20"/>
        </w:rPr>
        <w:t>., Milano, Italy) capsule-based system</w:t>
      </w:r>
      <w:r w:rsidR="00E0484A">
        <w:rPr>
          <w:sz w:val="20"/>
        </w:rPr>
        <w:t>s (Size 0, 2 and 3)</w:t>
      </w:r>
      <w:r w:rsidRPr="50CDFC54">
        <w:rPr>
          <w:sz w:val="20"/>
        </w:rPr>
        <w:t xml:space="preserve"> </w:t>
      </w:r>
      <w:r w:rsidR="00884446">
        <w:rPr>
          <w:sz w:val="20"/>
        </w:rPr>
        <w:t>at a 4Kpa pressure drop. A</w:t>
      </w:r>
      <w:r w:rsidRPr="50CDFC54">
        <w:rPr>
          <w:sz w:val="20"/>
        </w:rPr>
        <w:t>liquots of each blend were manually filled into HPMC capsules</w:t>
      </w:r>
      <w:r w:rsidR="00E0484A">
        <w:rPr>
          <w:sz w:val="20"/>
        </w:rPr>
        <w:t xml:space="preserve"> </w:t>
      </w:r>
      <w:r w:rsidRPr="50CDFC54">
        <w:rPr>
          <w:sz w:val="20"/>
        </w:rPr>
        <w:t>(Qualicaps</w:t>
      </w:r>
      <w:r w:rsidR="00395FEB">
        <w:rPr>
          <w:sz w:val="20"/>
        </w:rPr>
        <w:t xml:space="preserve"> V-I, Qualicaps</w:t>
      </w:r>
      <w:r w:rsidRPr="50CDFC54">
        <w:rPr>
          <w:sz w:val="20"/>
        </w:rPr>
        <w:t>, Madrid, Spain)</w:t>
      </w:r>
      <w:r w:rsidR="00F61071">
        <w:rPr>
          <w:sz w:val="20"/>
        </w:rPr>
        <w:t xml:space="preserve"> to achieve capsule fill volumes of 2</w:t>
      </w:r>
      <w:r w:rsidR="00884446">
        <w:rPr>
          <w:sz w:val="20"/>
        </w:rPr>
        <w:t>%</w:t>
      </w:r>
      <w:r w:rsidR="00F61071">
        <w:rPr>
          <w:sz w:val="20"/>
        </w:rPr>
        <w:t>, 25</w:t>
      </w:r>
      <w:r w:rsidR="00884446">
        <w:rPr>
          <w:sz w:val="20"/>
        </w:rPr>
        <w:t>%</w:t>
      </w:r>
      <w:r w:rsidR="00F61071">
        <w:rPr>
          <w:sz w:val="20"/>
        </w:rPr>
        <w:t xml:space="preserve"> and 60%</w:t>
      </w:r>
      <w:r w:rsidR="00D87B39">
        <w:rPr>
          <w:sz w:val="20"/>
        </w:rPr>
        <w:t xml:space="preserve"> (Fill weights are shown in Table 1)</w:t>
      </w:r>
      <w:r w:rsidR="00E0484A">
        <w:rPr>
          <w:sz w:val="20"/>
        </w:rPr>
        <w:t xml:space="preserve">. </w:t>
      </w:r>
      <w:r w:rsidR="00A337BB">
        <w:rPr>
          <w:sz w:val="20"/>
        </w:rPr>
        <w:t>25% and 60% fill weight were selected to represent typical high payload delivery, 2% fill weight was selected to understand the capability o</w:t>
      </w:r>
      <w:r w:rsidR="000D12A9">
        <w:rPr>
          <w:sz w:val="20"/>
        </w:rPr>
        <w:t>f iDPC</w:t>
      </w:r>
      <w:r w:rsidR="00F76605">
        <w:rPr>
          <w:sz w:val="20"/>
        </w:rPr>
        <w:t xml:space="preserve"> to reduce lactose load and deliver the required fine particle dose for typical low dose DPI formulations.</w:t>
      </w:r>
    </w:p>
    <w:p w14:paraId="45605B34" w14:textId="15E15A9F" w:rsidR="0016076E" w:rsidRPr="0016076E" w:rsidRDefault="0016076E" w:rsidP="0016076E">
      <w:pPr>
        <w:pStyle w:val="Caption"/>
        <w:keepNext/>
        <w:rPr>
          <w:b w:val="0"/>
          <w:bCs w:val="0"/>
          <w:sz w:val="18"/>
          <w:szCs w:val="18"/>
        </w:rPr>
      </w:pPr>
      <w:r w:rsidRPr="0016076E">
        <w:rPr>
          <w:sz w:val="18"/>
          <w:szCs w:val="18"/>
        </w:rPr>
        <w:t xml:space="preserve">Table </w:t>
      </w:r>
      <w:r w:rsidRPr="0016076E">
        <w:rPr>
          <w:sz w:val="18"/>
          <w:szCs w:val="18"/>
        </w:rPr>
        <w:fldChar w:fldCharType="begin"/>
      </w:r>
      <w:r w:rsidRPr="0016076E">
        <w:rPr>
          <w:sz w:val="18"/>
          <w:szCs w:val="18"/>
        </w:rPr>
        <w:instrText xml:space="preserve"> SEQ Table \* ARABIC </w:instrText>
      </w:r>
      <w:r w:rsidRPr="0016076E">
        <w:rPr>
          <w:sz w:val="18"/>
          <w:szCs w:val="18"/>
        </w:rPr>
        <w:fldChar w:fldCharType="separate"/>
      </w:r>
      <w:r w:rsidRPr="0016076E">
        <w:rPr>
          <w:noProof/>
          <w:sz w:val="18"/>
          <w:szCs w:val="18"/>
        </w:rPr>
        <w:t>1</w:t>
      </w:r>
      <w:r w:rsidRPr="0016076E">
        <w:rPr>
          <w:sz w:val="18"/>
          <w:szCs w:val="18"/>
        </w:rPr>
        <w:fldChar w:fldCharType="end"/>
      </w:r>
      <w:r>
        <w:rPr>
          <w:sz w:val="18"/>
          <w:szCs w:val="18"/>
        </w:rPr>
        <w:t xml:space="preserve">; </w:t>
      </w:r>
      <w:r>
        <w:rPr>
          <w:b w:val="0"/>
          <w:bCs w:val="0"/>
          <w:sz w:val="18"/>
          <w:szCs w:val="18"/>
        </w:rPr>
        <w:t xml:space="preserve">Fill weights and corresponding capsules used for APSD </w:t>
      </w:r>
      <w:proofErr w:type="gramStart"/>
      <w:r>
        <w:rPr>
          <w:b w:val="0"/>
          <w:bCs w:val="0"/>
          <w:sz w:val="18"/>
          <w:szCs w:val="18"/>
        </w:rPr>
        <w:t>assessment</w:t>
      </w:r>
      <w:proofErr w:type="gramEnd"/>
    </w:p>
    <w:tbl>
      <w:tblPr>
        <w:tblStyle w:val="GridTable2-Accent5"/>
        <w:tblW w:w="0" w:type="auto"/>
        <w:tblLook w:val="04A0" w:firstRow="1" w:lastRow="0" w:firstColumn="1" w:lastColumn="0" w:noHBand="0" w:noVBand="1"/>
      </w:tblPr>
      <w:tblGrid>
        <w:gridCol w:w="2265"/>
        <w:gridCol w:w="2265"/>
        <w:gridCol w:w="2266"/>
        <w:gridCol w:w="2266"/>
      </w:tblGrid>
      <w:tr w:rsidR="00437055" w:rsidRPr="00437055" w14:paraId="77608BE4" w14:textId="77777777" w:rsidTr="0043705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5" w:type="dxa"/>
            <w:vAlign w:val="center"/>
          </w:tcPr>
          <w:p w14:paraId="0B0AB798" w14:textId="0ACB03BA" w:rsidR="00437055" w:rsidRPr="00437055" w:rsidRDefault="00437055" w:rsidP="00437055">
            <w:pPr>
              <w:pStyle w:val="DDLBodyText"/>
              <w:jc w:val="center"/>
              <w:rPr>
                <w:sz w:val="16"/>
                <w:szCs w:val="16"/>
              </w:rPr>
            </w:pPr>
            <w:r w:rsidRPr="00437055">
              <w:rPr>
                <w:sz w:val="16"/>
                <w:szCs w:val="16"/>
              </w:rPr>
              <w:t>Capsule Size</w:t>
            </w:r>
          </w:p>
        </w:tc>
        <w:tc>
          <w:tcPr>
            <w:tcW w:w="2265" w:type="dxa"/>
            <w:vAlign w:val="center"/>
          </w:tcPr>
          <w:p w14:paraId="3531EB48" w14:textId="0A34BA40" w:rsidR="00437055" w:rsidRPr="00437055" w:rsidRDefault="00437055" w:rsidP="00437055">
            <w:pPr>
              <w:pStyle w:val="DDLBodyText"/>
              <w:jc w:val="center"/>
              <w:cnfStyle w:val="100000000000" w:firstRow="1" w:lastRow="0" w:firstColumn="0" w:lastColumn="0" w:oddVBand="0" w:evenVBand="0" w:oddHBand="0" w:evenHBand="0" w:firstRowFirstColumn="0" w:firstRowLastColumn="0" w:lastRowFirstColumn="0" w:lastRowLastColumn="0"/>
              <w:rPr>
                <w:sz w:val="16"/>
                <w:szCs w:val="16"/>
              </w:rPr>
            </w:pPr>
            <w:r>
              <w:rPr>
                <w:sz w:val="16"/>
                <w:szCs w:val="16"/>
              </w:rPr>
              <w:t>2%</w:t>
            </w:r>
            <w:r w:rsidR="00691079">
              <w:rPr>
                <w:sz w:val="16"/>
                <w:szCs w:val="16"/>
              </w:rPr>
              <w:t xml:space="preserve"> Fill Weight</w:t>
            </w:r>
          </w:p>
        </w:tc>
        <w:tc>
          <w:tcPr>
            <w:tcW w:w="2266" w:type="dxa"/>
            <w:vAlign w:val="center"/>
          </w:tcPr>
          <w:p w14:paraId="571BF150" w14:textId="77266E01" w:rsidR="00437055" w:rsidRPr="00437055" w:rsidRDefault="00437055" w:rsidP="00437055">
            <w:pPr>
              <w:pStyle w:val="DDLBodyText"/>
              <w:jc w:val="center"/>
              <w:cnfStyle w:val="100000000000" w:firstRow="1" w:lastRow="0" w:firstColumn="0" w:lastColumn="0" w:oddVBand="0" w:evenVBand="0" w:oddHBand="0" w:evenHBand="0" w:firstRowFirstColumn="0" w:firstRowLastColumn="0" w:lastRowFirstColumn="0" w:lastRowLastColumn="0"/>
              <w:rPr>
                <w:sz w:val="16"/>
                <w:szCs w:val="16"/>
              </w:rPr>
            </w:pPr>
            <w:r>
              <w:rPr>
                <w:sz w:val="16"/>
                <w:szCs w:val="16"/>
              </w:rPr>
              <w:t>25%</w:t>
            </w:r>
            <w:r w:rsidR="00691079">
              <w:rPr>
                <w:sz w:val="16"/>
                <w:szCs w:val="16"/>
              </w:rPr>
              <w:t xml:space="preserve"> Fill Weight</w:t>
            </w:r>
          </w:p>
        </w:tc>
        <w:tc>
          <w:tcPr>
            <w:tcW w:w="2266" w:type="dxa"/>
            <w:vAlign w:val="center"/>
          </w:tcPr>
          <w:p w14:paraId="660560D4" w14:textId="26FD9016" w:rsidR="00437055" w:rsidRPr="00437055" w:rsidRDefault="00437055" w:rsidP="00437055">
            <w:pPr>
              <w:pStyle w:val="DDLBodyText"/>
              <w:jc w:val="center"/>
              <w:cnfStyle w:val="100000000000" w:firstRow="1" w:lastRow="0" w:firstColumn="0" w:lastColumn="0" w:oddVBand="0" w:evenVBand="0" w:oddHBand="0" w:evenHBand="0" w:firstRowFirstColumn="0" w:firstRowLastColumn="0" w:lastRowFirstColumn="0" w:lastRowLastColumn="0"/>
              <w:rPr>
                <w:sz w:val="16"/>
                <w:szCs w:val="16"/>
              </w:rPr>
            </w:pPr>
            <w:r>
              <w:rPr>
                <w:sz w:val="16"/>
                <w:szCs w:val="16"/>
              </w:rPr>
              <w:t>60%</w:t>
            </w:r>
            <w:r w:rsidR="00691079">
              <w:rPr>
                <w:sz w:val="16"/>
                <w:szCs w:val="16"/>
              </w:rPr>
              <w:t xml:space="preserve"> Fill Weight</w:t>
            </w:r>
          </w:p>
        </w:tc>
      </w:tr>
      <w:tr w:rsidR="00437055" w:rsidRPr="00437055" w14:paraId="4835B379" w14:textId="77777777" w:rsidTr="004370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5" w:type="dxa"/>
            <w:vAlign w:val="center"/>
          </w:tcPr>
          <w:p w14:paraId="4DE392BA" w14:textId="33771059" w:rsidR="00437055" w:rsidRPr="00437055" w:rsidRDefault="002F4B53" w:rsidP="00437055">
            <w:pPr>
              <w:pStyle w:val="DDLBodyText"/>
              <w:jc w:val="center"/>
              <w:rPr>
                <w:sz w:val="16"/>
                <w:szCs w:val="16"/>
              </w:rPr>
            </w:pPr>
            <w:r>
              <w:rPr>
                <w:sz w:val="16"/>
                <w:szCs w:val="16"/>
              </w:rPr>
              <w:t>Size 3</w:t>
            </w:r>
          </w:p>
        </w:tc>
        <w:tc>
          <w:tcPr>
            <w:tcW w:w="2265" w:type="dxa"/>
            <w:vAlign w:val="center"/>
          </w:tcPr>
          <w:p w14:paraId="2E80CECD" w14:textId="4A8637CE" w:rsidR="00437055" w:rsidRPr="00437055" w:rsidRDefault="00E221B9" w:rsidP="00437055">
            <w:pPr>
              <w:pStyle w:val="DDLBodyText"/>
              <w:jc w:val="cente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1</w:t>
            </w:r>
            <w:r w:rsidR="006161D8">
              <w:rPr>
                <w:sz w:val="16"/>
                <w:szCs w:val="16"/>
              </w:rPr>
              <w:t>.0</w:t>
            </w:r>
            <w:r w:rsidR="00A16028">
              <w:rPr>
                <w:sz w:val="16"/>
                <w:szCs w:val="16"/>
              </w:rPr>
              <w:t>mg</w:t>
            </w:r>
            <w:r w:rsidR="00B24EE3">
              <w:rPr>
                <w:sz w:val="16"/>
                <w:szCs w:val="16"/>
              </w:rPr>
              <w:t xml:space="preserve"> </w:t>
            </w:r>
            <w:r w:rsidR="000C0243">
              <w:rPr>
                <w:sz w:val="16"/>
                <w:szCs w:val="16"/>
              </w:rPr>
              <w:t>(6)</w:t>
            </w:r>
          </w:p>
        </w:tc>
        <w:tc>
          <w:tcPr>
            <w:tcW w:w="2266" w:type="dxa"/>
            <w:vAlign w:val="center"/>
          </w:tcPr>
          <w:p w14:paraId="1E8A5129" w14:textId="2C4ECD52" w:rsidR="00437055" w:rsidRPr="00437055" w:rsidRDefault="005563EB" w:rsidP="00437055">
            <w:pPr>
              <w:pStyle w:val="DDLBodyText"/>
              <w:jc w:val="cente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12.5mg</w:t>
            </w:r>
            <w:r w:rsidR="005057F2">
              <w:rPr>
                <w:sz w:val="16"/>
                <w:szCs w:val="16"/>
              </w:rPr>
              <w:t xml:space="preserve"> (4)</w:t>
            </w:r>
          </w:p>
        </w:tc>
        <w:tc>
          <w:tcPr>
            <w:tcW w:w="2266" w:type="dxa"/>
            <w:vAlign w:val="center"/>
          </w:tcPr>
          <w:p w14:paraId="3B585EB2" w14:textId="0B036439" w:rsidR="00437055" w:rsidRPr="00437055" w:rsidRDefault="009274A1" w:rsidP="00437055">
            <w:pPr>
              <w:pStyle w:val="DDLBodyText"/>
              <w:jc w:val="cente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30mg</w:t>
            </w:r>
            <w:r w:rsidR="00B42403">
              <w:rPr>
                <w:sz w:val="16"/>
                <w:szCs w:val="16"/>
              </w:rPr>
              <w:t xml:space="preserve"> (2)</w:t>
            </w:r>
          </w:p>
        </w:tc>
      </w:tr>
      <w:tr w:rsidR="00437055" w:rsidRPr="00437055" w14:paraId="6F929299" w14:textId="77777777" w:rsidTr="00437055">
        <w:tc>
          <w:tcPr>
            <w:cnfStyle w:val="001000000000" w:firstRow="0" w:lastRow="0" w:firstColumn="1" w:lastColumn="0" w:oddVBand="0" w:evenVBand="0" w:oddHBand="0" w:evenHBand="0" w:firstRowFirstColumn="0" w:firstRowLastColumn="0" w:lastRowFirstColumn="0" w:lastRowLastColumn="0"/>
            <w:tcW w:w="2265" w:type="dxa"/>
            <w:vAlign w:val="center"/>
          </w:tcPr>
          <w:p w14:paraId="4F32F682" w14:textId="76D6E107" w:rsidR="00437055" w:rsidRPr="00437055" w:rsidRDefault="002F4B53" w:rsidP="00437055">
            <w:pPr>
              <w:pStyle w:val="DDLBodyText"/>
              <w:jc w:val="center"/>
              <w:rPr>
                <w:sz w:val="16"/>
                <w:szCs w:val="16"/>
              </w:rPr>
            </w:pPr>
            <w:r>
              <w:rPr>
                <w:sz w:val="16"/>
                <w:szCs w:val="16"/>
              </w:rPr>
              <w:t>Size 2</w:t>
            </w:r>
          </w:p>
        </w:tc>
        <w:tc>
          <w:tcPr>
            <w:tcW w:w="2265" w:type="dxa"/>
            <w:vAlign w:val="center"/>
          </w:tcPr>
          <w:p w14:paraId="7127B2FD" w14:textId="3FDA5148" w:rsidR="00437055" w:rsidRPr="00437055" w:rsidRDefault="00637BA4" w:rsidP="00437055">
            <w:pPr>
              <w:pStyle w:val="DDLBodyText"/>
              <w:jc w:val="cente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1.3</w:t>
            </w:r>
            <w:r w:rsidR="00A16028">
              <w:rPr>
                <w:sz w:val="16"/>
                <w:szCs w:val="16"/>
              </w:rPr>
              <w:t>mg</w:t>
            </w:r>
            <w:r w:rsidR="00EE644E">
              <w:rPr>
                <w:sz w:val="16"/>
                <w:szCs w:val="16"/>
              </w:rPr>
              <w:t xml:space="preserve"> (6)</w:t>
            </w:r>
          </w:p>
        </w:tc>
        <w:tc>
          <w:tcPr>
            <w:tcW w:w="2266" w:type="dxa"/>
            <w:vAlign w:val="center"/>
          </w:tcPr>
          <w:p w14:paraId="1B0A84FB" w14:textId="48EBDCCD" w:rsidR="00437055" w:rsidRPr="00437055" w:rsidRDefault="00E14ED0" w:rsidP="00437055">
            <w:pPr>
              <w:pStyle w:val="DDLBodyText"/>
              <w:jc w:val="cente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16.4mg</w:t>
            </w:r>
            <w:r w:rsidR="00EE644E">
              <w:rPr>
                <w:sz w:val="16"/>
                <w:szCs w:val="16"/>
              </w:rPr>
              <w:t xml:space="preserve"> (4)</w:t>
            </w:r>
          </w:p>
        </w:tc>
        <w:tc>
          <w:tcPr>
            <w:tcW w:w="2266" w:type="dxa"/>
            <w:vAlign w:val="center"/>
          </w:tcPr>
          <w:p w14:paraId="7D9C4867" w14:textId="128A0924" w:rsidR="00437055" w:rsidRPr="00437055" w:rsidRDefault="009274A1" w:rsidP="00437055">
            <w:pPr>
              <w:pStyle w:val="DDLBodyText"/>
              <w:jc w:val="cente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40mg</w:t>
            </w:r>
            <w:r w:rsidR="00EE644E">
              <w:rPr>
                <w:sz w:val="16"/>
                <w:szCs w:val="16"/>
              </w:rPr>
              <w:t xml:space="preserve"> (2)</w:t>
            </w:r>
          </w:p>
        </w:tc>
      </w:tr>
      <w:tr w:rsidR="00437055" w:rsidRPr="00437055" w14:paraId="4D05E4AD" w14:textId="77777777" w:rsidTr="004370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5" w:type="dxa"/>
            <w:vAlign w:val="center"/>
          </w:tcPr>
          <w:p w14:paraId="650EE919" w14:textId="1F7DA85B" w:rsidR="00437055" w:rsidRPr="00437055" w:rsidRDefault="002F4B53" w:rsidP="00437055">
            <w:pPr>
              <w:pStyle w:val="DDLBodyText"/>
              <w:jc w:val="center"/>
              <w:rPr>
                <w:sz w:val="16"/>
                <w:szCs w:val="16"/>
              </w:rPr>
            </w:pPr>
            <w:r>
              <w:rPr>
                <w:sz w:val="16"/>
                <w:szCs w:val="16"/>
              </w:rPr>
              <w:t>Size 0</w:t>
            </w:r>
          </w:p>
        </w:tc>
        <w:tc>
          <w:tcPr>
            <w:tcW w:w="2265" w:type="dxa"/>
            <w:vAlign w:val="center"/>
          </w:tcPr>
          <w:p w14:paraId="0811451E" w14:textId="4C32192D" w:rsidR="00437055" w:rsidRPr="00437055" w:rsidRDefault="00A16028" w:rsidP="00437055">
            <w:pPr>
              <w:pStyle w:val="DDLBodyText"/>
              <w:jc w:val="cente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2.4mg</w:t>
            </w:r>
            <w:r w:rsidR="00BA1F24">
              <w:rPr>
                <w:sz w:val="16"/>
                <w:szCs w:val="16"/>
              </w:rPr>
              <w:t xml:space="preserve"> </w:t>
            </w:r>
            <w:r w:rsidR="00EE644E">
              <w:rPr>
                <w:sz w:val="16"/>
                <w:szCs w:val="16"/>
              </w:rPr>
              <w:t>(</w:t>
            </w:r>
            <w:r w:rsidR="00F36BFB">
              <w:rPr>
                <w:sz w:val="16"/>
                <w:szCs w:val="16"/>
              </w:rPr>
              <w:t>4)</w:t>
            </w:r>
          </w:p>
        </w:tc>
        <w:tc>
          <w:tcPr>
            <w:tcW w:w="2266" w:type="dxa"/>
            <w:vAlign w:val="center"/>
          </w:tcPr>
          <w:p w14:paraId="19954BFE" w14:textId="28C1DA50" w:rsidR="00437055" w:rsidRPr="00437055" w:rsidRDefault="004136D0" w:rsidP="00437055">
            <w:pPr>
              <w:pStyle w:val="DDLBodyText"/>
              <w:jc w:val="cente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29.6mg</w:t>
            </w:r>
            <w:r w:rsidR="00F36BFB">
              <w:rPr>
                <w:sz w:val="16"/>
                <w:szCs w:val="16"/>
              </w:rPr>
              <w:t xml:space="preserve"> (2)</w:t>
            </w:r>
          </w:p>
        </w:tc>
        <w:tc>
          <w:tcPr>
            <w:tcW w:w="2266" w:type="dxa"/>
            <w:vAlign w:val="center"/>
          </w:tcPr>
          <w:p w14:paraId="0F911CAD" w14:textId="607AB710" w:rsidR="00437055" w:rsidRPr="00437055" w:rsidRDefault="007D3298" w:rsidP="00437055">
            <w:pPr>
              <w:pStyle w:val="DDLBodyText"/>
              <w:jc w:val="cente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71mg</w:t>
            </w:r>
            <w:r w:rsidR="00F36BFB">
              <w:rPr>
                <w:sz w:val="16"/>
                <w:szCs w:val="16"/>
              </w:rPr>
              <w:t xml:space="preserve"> (1)</w:t>
            </w:r>
          </w:p>
        </w:tc>
      </w:tr>
    </w:tbl>
    <w:p w14:paraId="45A6028D" w14:textId="77777777" w:rsidR="00D87B39" w:rsidRDefault="00D87B39" w:rsidP="50CDFC54">
      <w:pPr>
        <w:pStyle w:val="DDLBodyText"/>
        <w:rPr>
          <w:sz w:val="20"/>
        </w:rPr>
      </w:pPr>
    </w:p>
    <w:p w14:paraId="6705726B" w14:textId="77777777" w:rsidR="00F83F51" w:rsidRDefault="00F83F51" w:rsidP="006F6CE6">
      <w:pPr>
        <w:pStyle w:val="DDLBodyText"/>
        <w:rPr>
          <w:sz w:val="20"/>
        </w:rPr>
      </w:pPr>
      <w:r w:rsidRPr="00F83F51">
        <w:rPr>
          <w:b/>
          <w:bCs/>
          <w:sz w:val="20"/>
        </w:rPr>
        <w:t>Results and Discussion</w:t>
      </w:r>
      <w:r w:rsidR="00266F6A" w:rsidRPr="00F83F51">
        <w:rPr>
          <w:b/>
          <w:bCs/>
          <w:sz w:val="20"/>
        </w:rPr>
        <w:t xml:space="preserve"> </w:t>
      </w:r>
    </w:p>
    <w:p w14:paraId="35496C4A" w14:textId="31C1F54B" w:rsidR="00F83F51" w:rsidRDefault="00884446" w:rsidP="006F6CE6">
      <w:pPr>
        <w:pStyle w:val="DDLBodyText"/>
        <w:rPr>
          <w:sz w:val="20"/>
        </w:rPr>
      </w:pPr>
      <w:r>
        <w:rPr>
          <w:sz w:val="20"/>
        </w:rPr>
        <w:t>T</w:t>
      </w:r>
      <w:r w:rsidR="002A4072">
        <w:rPr>
          <w:sz w:val="20"/>
        </w:rPr>
        <w:t xml:space="preserve">he content uniformity </w:t>
      </w:r>
      <w:r>
        <w:rPr>
          <w:sz w:val="20"/>
        </w:rPr>
        <w:t>of each formulation was measured to be</w:t>
      </w:r>
      <w:r w:rsidR="002A4072">
        <w:rPr>
          <w:sz w:val="20"/>
        </w:rPr>
        <w:t xml:space="preserve"> below 5% RSD, indicating that the blends were homogen</w:t>
      </w:r>
      <w:r>
        <w:rPr>
          <w:sz w:val="20"/>
        </w:rPr>
        <w:t>e</w:t>
      </w:r>
      <w:r w:rsidR="002A4072">
        <w:rPr>
          <w:sz w:val="20"/>
        </w:rPr>
        <w:t>ous</w:t>
      </w:r>
      <w:r>
        <w:rPr>
          <w:sz w:val="20"/>
        </w:rPr>
        <w:t>.</w:t>
      </w:r>
      <w:r w:rsidR="002A4072">
        <w:rPr>
          <w:sz w:val="20"/>
        </w:rPr>
        <w:t xml:space="preserve"> </w:t>
      </w:r>
    </w:p>
    <w:p w14:paraId="62FCCC13" w14:textId="56040D12" w:rsidR="009B6EDE" w:rsidRDefault="00884446" w:rsidP="006F6CE6">
      <w:pPr>
        <w:pStyle w:val="DDLBodyText"/>
        <w:rPr>
          <w:sz w:val="20"/>
        </w:rPr>
      </w:pPr>
      <w:r>
        <w:rPr>
          <w:sz w:val="20"/>
        </w:rPr>
        <w:lastRenderedPageBreak/>
        <w:t>The f</w:t>
      </w:r>
      <w:r w:rsidR="00B5708A">
        <w:rPr>
          <w:sz w:val="20"/>
        </w:rPr>
        <w:t xml:space="preserve">ine particle dose (FPD) </w:t>
      </w:r>
      <w:r w:rsidR="00485694">
        <w:rPr>
          <w:sz w:val="20"/>
        </w:rPr>
        <w:t xml:space="preserve">from </w:t>
      </w:r>
      <w:r>
        <w:rPr>
          <w:sz w:val="20"/>
        </w:rPr>
        <w:t xml:space="preserve">each formulation is </w:t>
      </w:r>
      <w:r w:rsidR="003435A9">
        <w:rPr>
          <w:sz w:val="20"/>
        </w:rPr>
        <w:t>recor</w:t>
      </w:r>
      <w:r w:rsidR="00E722DC">
        <w:rPr>
          <w:sz w:val="20"/>
        </w:rPr>
        <w:t>d</w:t>
      </w:r>
      <w:r w:rsidR="003435A9">
        <w:rPr>
          <w:sz w:val="20"/>
        </w:rPr>
        <w:t xml:space="preserve">ed in Figure </w:t>
      </w:r>
      <w:r w:rsidR="00E722DC">
        <w:rPr>
          <w:sz w:val="20"/>
        </w:rPr>
        <w:t>2</w:t>
      </w:r>
      <w:r w:rsidR="003435A9">
        <w:rPr>
          <w:sz w:val="20"/>
        </w:rPr>
        <w:t xml:space="preserve"> </w:t>
      </w:r>
      <w:r>
        <w:rPr>
          <w:sz w:val="20"/>
        </w:rPr>
        <w:t>plotted against</w:t>
      </w:r>
      <w:r w:rsidR="00B5708A">
        <w:rPr>
          <w:sz w:val="20"/>
        </w:rPr>
        <w:t xml:space="preserve"> the capsule fill volume </w:t>
      </w:r>
      <w:r w:rsidR="00E44BB4">
        <w:rPr>
          <w:sz w:val="20"/>
        </w:rPr>
        <w:t xml:space="preserve">in </w:t>
      </w:r>
      <w:r w:rsidR="00B5708A">
        <w:rPr>
          <w:sz w:val="20"/>
        </w:rPr>
        <w:t xml:space="preserve">each of the three capsule/device sizes. </w:t>
      </w:r>
      <w:r w:rsidR="002040BE">
        <w:rPr>
          <w:sz w:val="20"/>
        </w:rPr>
        <w:t xml:space="preserve">For the lactose </w:t>
      </w:r>
      <w:r w:rsidR="00305DA4">
        <w:rPr>
          <w:sz w:val="20"/>
        </w:rPr>
        <w:t xml:space="preserve">(LH100) </w:t>
      </w:r>
      <w:r w:rsidR="002040BE">
        <w:rPr>
          <w:sz w:val="20"/>
        </w:rPr>
        <w:t>based formulation</w:t>
      </w:r>
      <w:r w:rsidR="00305DA4">
        <w:rPr>
          <w:sz w:val="20"/>
        </w:rPr>
        <w:t>s</w:t>
      </w:r>
      <w:r w:rsidR="002040BE">
        <w:rPr>
          <w:sz w:val="20"/>
        </w:rPr>
        <w:t xml:space="preserve"> </w:t>
      </w:r>
      <w:r w:rsidR="000C3BE5">
        <w:rPr>
          <w:sz w:val="20"/>
        </w:rPr>
        <w:t xml:space="preserve">the FPD </w:t>
      </w:r>
      <w:r w:rsidR="003435A9">
        <w:rPr>
          <w:sz w:val="20"/>
        </w:rPr>
        <w:t xml:space="preserve">increases </w:t>
      </w:r>
      <w:r w:rsidR="00E722DC">
        <w:rPr>
          <w:sz w:val="20"/>
        </w:rPr>
        <w:t xml:space="preserve">in </w:t>
      </w:r>
      <w:r w:rsidR="000C3BE5">
        <w:rPr>
          <w:sz w:val="20"/>
        </w:rPr>
        <w:t>a linear manner</w:t>
      </w:r>
      <w:r w:rsidR="000A35B4">
        <w:rPr>
          <w:sz w:val="20"/>
        </w:rPr>
        <w:t xml:space="preserve"> as fill volume increased for each of the capsule sizes.</w:t>
      </w:r>
      <w:r w:rsidR="001A37BC">
        <w:rPr>
          <w:sz w:val="20"/>
        </w:rPr>
        <w:t xml:space="preserve"> The FPD </w:t>
      </w:r>
      <w:r w:rsidR="003435A9">
        <w:rPr>
          <w:sz w:val="20"/>
        </w:rPr>
        <w:t xml:space="preserve">is </w:t>
      </w:r>
      <w:r w:rsidR="008F11C1">
        <w:rPr>
          <w:sz w:val="20"/>
        </w:rPr>
        <w:t>high in all cases for each of the fill volumes</w:t>
      </w:r>
      <w:r w:rsidR="006369EA">
        <w:rPr>
          <w:sz w:val="20"/>
        </w:rPr>
        <w:t>. The</w:t>
      </w:r>
      <w:r w:rsidR="008F11C1">
        <w:rPr>
          <w:sz w:val="20"/>
        </w:rPr>
        <w:t xml:space="preserve"> </w:t>
      </w:r>
      <w:r w:rsidR="00E30130">
        <w:rPr>
          <w:sz w:val="20"/>
        </w:rPr>
        <w:t xml:space="preserve">60% fill volume </w:t>
      </w:r>
      <w:r w:rsidR="006369EA">
        <w:rPr>
          <w:sz w:val="20"/>
        </w:rPr>
        <w:t xml:space="preserve">had </w:t>
      </w:r>
      <w:r w:rsidR="003435A9">
        <w:rPr>
          <w:sz w:val="20"/>
        </w:rPr>
        <w:t xml:space="preserve">the </w:t>
      </w:r>
      <w:r w:rsidR="006369EA">
        <w:rPr>
          <w:sz w:val="20"/>
        </w:rPr>
        <w:t xml:space="preserve">highest FPD, with the highest performing formulation </w:t>
      </w:r>
      <w:r w:rsidR="00E30130">
        <w:rPr>
          <w:sz w:val="20"/>
        </w:rPr>
        <w:t xml:space="preserve">in a size 0 capsule presenting the opportunity to deliver ~14mg of FP </w:t>
      </w:r>
      <w:r w:rsidR="00E44BB4">
        <w:rPr>
          <w:sz w:val="20"/>
        </w:rPr>
        <w:t>or</w:t>
      </w:r>
      <w:r w:rsidR="00E30130">
        <w:rPr>
          <w:sz w:val="20"/>
        </w:rPr>
        <w:t xml:space="preserve"> ~16mg of SX</w:t>
      </w:r>
      <w:r w:rsidR="00305DA4">
        <w:rPr>
          <w:sz w:val="20"/>
        </w:rPr>
        <w:t xml:space="preserve"> in a single inhalation</w:t>
      </w:r>
      <w:r w:rsidR="00E30130">
        <w:rPr>
          <w:sz w:val="20"/>
        </w:rPr>
        <w:t xml:space="preserve"> respectively</w:t>
      </w:r>
      <w:r w:rsidR="00AB644E">
        <w:rPr>
          <w:sz w:val="20"/>
        </w:rPr>
        <w:t xml:space="preserve">, </w:t>
      </w:r>
    </w:p>
    <w:p w14:paraId="0F14A294" w14:textId="67FF0BD2" w:rsidR="007E5B21" w:rsidRDefault="002B189F" w:rsidP="008C164D">
      <w:pPr>
        <w:pStyle w:val="DDLBodyText"/>
        <w:spacing w:after="0"/>
        <w:jc w:val="center"/>
        <w:rPr>
          <w:sz w:val="20"/>
        </w:rPr>
      </w:pPr>
      <w:r>
        <w:rPr>
          <w:noProof/>
          <w:sz w:val="20"/>
        </w:rPr>
        <w:drawing>
          <wp:inline distT="0" distB="0" distL="0" distR="0" wp14:anchorId="65DE98A0" wp14:editId="0169F5ED">
            <wp:extent cx="5760000" cy="3880392"/>
            <wp:effectExtent l="0" t="0" r="0" b="6350"/>
            <wp:docPr id="3974650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60000" cy="3880392"/>
                    </a:xfrm>
                    <a:prstGeom prst="rect">
                      <a:avLst/>
                    </a:prstGeom>
                    <a:noFill/>
                  </pic:spPr>
                </pic:pic>
              </a:graphicData>
            </a:graphic>
          </wp:inline>
        </w:drawing>
      </w:r>
    </w:p>
    <w:p w14:paraId="13965AFA" w14:textId="456A80A4" w:rsidR="007E5B21" w:rsidRPr="007E5B21" w:rsidRDefault="007E5B21" w:rsidP="006F6CE6">
      <w:pPr>
        <w:pStyle w:val="DDLBodyText"/>
        <w:rPr>
          <w:szCs w:val="18"/>
        </w:rPr>
      </w:pPr>
      <w:r w:rsidRPr="007E5B21">
        <w:rPr>
          <w:b/>
          <w:bCs/>
          <w:szCs w:val="18"/>
        </w:rPr>
        <w:t xml:space="preserve">Figure </w:t>
      </w:r>
      <w:r w:rsidR="00875B61">
        <w:rPr>
          <w:b/>
          <w:bCs/>
          <w:szCs w:val="18"/>
        </w:rPr>
        <w:t>2</w:t>
      </w:r>
      <w:r w:rsidRPr="007E5B21">
        <w:rPr>
          <w:b/>
          <w:bCs/>
          <w:szCs w:val="18"/>
        </w:rPr>
        <w:t>.</w:t>
      </w:r>
      <w:r>
        <w:rPr>
          <w:szCs w:val="18"/>
        </w:rPr>
        <w:t xml:space="preserve"> </w:t>
      </w:r>
      <w:r w:rsidR="00E728F6">
        <w:rPr>
          <w:szCs w:val="18"/>
        </w:rPr>
        <w:t xml:space="preserve">Fine particle dose </w:t>
      </w:r>
      <w:r w:rsidR="003435A9">
        <w:rPr>
          <w:szCs w:val="18"/>
        </w:rPr>
        <w:t>as a function of</w:t>
      </w:r>
      <w:r w:rsidR="00E728F6">
        <w:rPr>
          <w:szCs w:val="18"/>
        </w:rPr>
        <w:t xml:space="preserve"> capsule fill volume </w:t>
      </w:r>
      <w:r w:rsidR="003435A9">
        <w:rPr>
          <w:szCs w:val="18"/>
        </w:rPr>
        <w:t>and</w:t>
      </w:r>
      <w:r w:rsidR="00C1086D">
        <w:rPr>
          <w:szCs w:val="18"/>
        </w:rPr>
        <w:t xml:space="preserve"> capsule size</w:t>
      </w:r>
    </w:p>
    <w:p w14:paraId="59C1C9F8" w14:textId="4C1BFCDB" w:rsidR="00D254B9" w:rsidRPr="000F65CD" w:rsidRDefault="00E44BB4" w:rsidP="006F6CE6">
      <w:pPr>
        <w:pStyle w:val="DDLBodyText"/>
        <w:rPr>
          <w:sz w:val="20"/>
        </w:rPr>
      </w:pPr>
      <w:r>
        <w:rPr>
          <w:sz w:val="20"/>
        </w:rPr>
        <w:t xml:space="preserve">With the mannitol) based formulations, in size 2 and 3 capsules, FPD performance shows a similar trend to </w:t>
      </w:r>
      <w:r w:rsidR="00D04A22">
        <w:rPr>
          <w:sz w:val="20"/>
        </w:rPr>
        <w:t>the lactose formulations</w:t>
      </w:r>
      <w:r>
        <w:rPr>
          <w:sz w:val="20"/>
        </w:rPr>
        <w:t xml:space="preserve"> with a relatively linear increase in performance as the fill volume is increased. The FPD is also higher than the corresponding </w:t>
      </w:r>
      <w:r w:rsidR="00C06CA1">
        <w:rPr>
          <w:sz w:val="20"/>
        </w:rPr>
        <w:t>lactose</w:t>
      </w:r>
      <w:r>
        <w:rPr>
          <w:sz w:val="20"/>
        </w:rPr>
        <w:t xml:space="preserve"> formulation. With SX, the FPD </w:t>
      </w:r>
      <w:r w:rsidR="00D04A22">
        <w:rPr>
          <w:sz w:val="20"/>
        </w:rPr>
        <w:t xml:space="preserve">obtained </w:t>
      </w:r>
      <w:r>
        <w:rPr>
          <w:sz w:val="20"/>
        </w:rPr>
        <w:t>with either capsule size delivers ~15mg at a 60% fill volume. P200SD is a spray dried mannitol grade, with uniform almost spherical particles with a d</w:t>
      </w:r>
      <w:r w:rsidRPr="00F32874">
        <w:rPr>
          <w:sz w:val="20"/>
          <w:vertAlign w:val="subscript"/>
        </w:rPr>
        <w:t>50</w:t>
      </w:r>
      <w:r>
        <w:rPr>
          <w:sz w:val="20"/>
        </w:rPr>
        <w:t>~150</w:t>
      </w:r>
      <w:r>
        <w:rPr>
          <w:rFonts w:cs="Arial"/>
          <w:sz w:val="20"/>
        </w:rPr>
        <w:t>µ</w:t>
      </w:r>
      <w:r>
        <w:rPr>
          <w:sz w:val="20"/>
        </w:rPr>
        <w:t xml:space="preserve">m. The uniformity of the mannitol appears </w:t>
      </w:r>
      <w:r w:rsidR="00C06CA1">
        <w:rPr>
          <w:sz w:val="20"/>
        </w:rPr>
        <w:t>to provide an excellent substrate for processing by th</w:t>
      </w:r>
      <w:r>
        <w:rPr>
          <w:sz w:val="20"/>
        </w:rPr>
        <w:t>in layer fluidisation (iDP</w:t>
      </w:r>
      <w:r w:rsidR="00C06CA1">
        <w:rPr>
          <w:sz w:val="20"/>
        </w:rPr>
        <w:t>C) except at the highest fill volume studied. When delivered in RS01/</w:t>
      </w:r>
      <w:r>
        <w:rPr>
          <w:sz w:val="20"/>
        </w:rPr>
        <w:t>size 0 capsule</w:t>
      </w:r>
      <w:r w:rsidR="00C06CA1">
        <w:rPr>
          <w:sz w:val="20"/>
        </w:rPr>
        <w:t xml:space="preserve">  combination, the </w:t>
      </w:r>
      <w:r>
        <w:rPr>
          <w:sz w:val="20"/>
        </w:rPr>
        <w:t xml:space="preserve"> increase in FPD between a 2% and 25% fill volume, </w:t>
      </w:r>
      <w:r w:rsidR="00C06CA1">
        <w:rPr>
          <w:sz w:val="20"/>
        </w:rPr>
        <w:t>does not carry forward to</w:t>
      </w:r>
      <w:r>
        <w:rPr>
          <w:sz w:val="20"/>
        </w:rPr>
        <w:t xml:space="preserve"> </w:t>
      </w:r>
      <w:r w:rsidR="00C06CA1">
        <w:rPr>
          <w:sz w:val="20"/>
        </w:rPr>
        <w:t xml:space="preserve">60% fill volume. At this fill volume </w:t>
      </w:r>
      <w:r w:rsidR="00D04A22">
        <w:rPr>
          <w:sz w:val="20"/>
        </w:rPr>
        <w:t>a non-linear change</w:t>
      </w:r>
      <w:r>
        <w:rPr>
          <w:sz w:val="20"/>
        </w:rPr>
        <w:t xml:space="preserve"> in the </w:t>
      </w:r>
      <w:r w:rsidR="00D04A22">
        <w:rPr>
          <w:sz w:val="20"/>
        </w:rPr>
        <w:t>FPD is seen</w:t>
      </w:r>
      <w:r>
        <w:rPr>
          <w:sz w:val="20"/>
        </w:rPr>
        <w:t xml:space="preserve"> for both </w:t>
      </w:r>
      <w:r w:rsidR="00C06CA1">
        <w:rPr>
          <w:sz w:val="20"/>
        </w:rPr>
        <w:t xml:space="preserve">FP and SX </w:t>
      </w:r>
      <w:r>
        <w:rPr>
          <w:sz w:val="20"/>
        </w:rPr>
        <w:t>formulations.</w:t>
      </w:r>
      <w:r w:rsidR="00D04A22">
        <w:rPr>
          <w:sz w:val="20"/>
        </w:rPr>
        <w:t xml:space="preserve"> FP delivery is found to plateau and SX deliver actually decreases.</w:t>
      </w:r>
      <w:r>
        <w:rPr>
          <w:sz w:val="20"/>
        </w:rPr>
        <w:t xml:space="preserve"> </w:t>
      </w:r>
      <w:r w:rsidR="00D04A22">
        <w:rPr>
          <w:sz w:val="20"/>
        </w:rPr>
        <w:t>This possibly reflects insufficient aerosolisation force at the highest formulation loading to fully disperse the mannitol formulations</w:t>
      </w:r>
      <w:r w:rsidR="00C31A37">
        <w:rPr>
          <w:sz w:val="20"/>
        </w:rPr>
        <w:t>.</w:t>
      </w:r>
    </w:p>
    <w:p w14:paraId="1CEA0C5D" w14:textId="3F00910C" w:rsidR="00D84D2C" w:rsidRDefault="00943B07" w:rsidP="00D84D2C">
      <w:pPr>
        <w:pStyle w:val="DDLBodyText"/>
        <w:rPr>
          <w:sz w:val="20"/>
        </w:rPr>
      </w:pPr>
      <w:r>
        <w:rPr>
          <w:sz w:val="20"/>
        </w:rPr>
        <w:t xml:space="preserve">The fine particle fraction (FPF) </w:t>
      </w:r>
      <w:r w:rsidR="00474875">
        <w:rPr>
          <w:sz w:val="20"/>
        </w:rPr>
        <w:t xml:space="preserve">from the emitted dose </w:t>
      </w:r>
      <w:r>
        <w:rPr>
          <w:sz w:val="20"/>
        </w:rPr>
        <w:t xml:space="preserve">of each of the formulations </w:t>
      </w:r>
      <w:r w:rsidR="00887F9D">
        <w:rPr>
          <w:sz w:val="20"/>
        </w:rPr>
        <w:t xml:space="preserve">is </w:t>
      </w:r>
      <w:r>
        <w:rPr>
          <w:sz w:val="20"/>
        </w:rPr>
        <w:t xml:space="preserve">plotted </w:t>
      </w:r>
      <w:r w:rsidR="00FD4603">
        <w:rPr>
          <w:sz w:val="20"/>
        </w:rPr>
        <w:t>as a function of</w:t>
      </w:r>
      <w:r>
        <w:rPr>
          <w:sz w:val="20"/>
        </w:rPr>
        <w:t xml:space="preserve"> capsule fill volume is</w:t>
      </w:r>
      <w:r w:rsidR="003010C2">
        <w:rPr>
          <w:sz w:val="20"/>
        </w:rPr>
        <w:t xml:space="preserve"> shown in Figure 3. </w:t>
      </w:r>
      <w:r w:rsidR="00485694">
        <w:rPr>
          <w:sz w:val="20"/>
        </w:rPr>
        <w:t xml:space="preserve">The first observation is that the iDPC formulations containing 75% API all perform extremely efficiently. </w:t>
      </w:r>
      <w:r w:rsidR="00D84D2C">
        <w:rPr>
          <w:sz w:val="20"/>
        </w:rPr>
        <w:t xml:space="preserve">The FPF performance with </w:t>
      </w:r>
      <w:r w:rsidR="00887F9D">
        <w:rPr>
          <w:sz w:val="20"/>
        </w:rPr>
        <w:t xml:space="preserve">the high concentration </w:t>
      </w:r>
      <w:r w:rsidR="00D84D2C">
        <w:rPr>
          <w:sz w:val="20"/>
        </w:rPr>
        <w:t xml:space="preserve">lactose </w:t>
      </w:r>
      <w:r w:rsidR="00887F9D">
        <w:rPr>
          <w:sz w:val="20"/>
        </w:rPr>
        <w:t xml:space="preserve">formulation </w:t>
      </w:r>
      <w:r w:rsidR="00FD4603">
        <w:rPr>
          <w:sz w:val="20"/>
        </w:rPr>
        <w:t xml:space="preserve">shows </w:t>
      </w:r>
      <w:r w:rsidR="00D84D2C">
        <w:rPr>
          <w:sz w:val="20"/>
        </w:rPr>
        <w:t xml:space="preserve">a clear </w:t>
      </w:r>
      <w:r w:rsidR="00FD4603">
        <w:rPr>
          <w:sz w:val="20"/>
        </w:rPr>
        <w:t xml:space="preserve">trend </w:t>
      </w:r>
      <w:r w:rsidR="00C74003">
        <w:rPr>
          <w:sz w:val="20"/>
        </w:rPr>
        <w:t>with</w:t>
      </w:r>
      <w:r w:rsidR="00887F9D">
        <w:rPr>
          <w:sz w:val="20"/>
        </w:rPr>
        <w:t xml:space="preserve"> the</w:t>
      </w:r>
      <w:r w:rsidR="00FD4603">
        <w:rPr>
          <w:sz w:val="20"/>
        </w:rPr>
        <w:t xml:space="preserve"> FPF</w:t>
      </w:r>
      <w:r w:rsidR="00FD4603" w:rsidDel="00FD4603">
        <w:rPr>
          <w:sz w:val="20"/>
        </w:rPr>
        <w:t xml:space="preserve"> </w:t>
      </w:r>
      <w:r w:rsidR="00FD4603">
        <w:rPr>
          <w:sz w:val="20"/>
        </w:rPr>
        <w:t>of the emitted dose decreas</w:t>
      </w:r>
      <w:r w:rsidR="00C74003">
        <w:rPr>
          <w:sz w:val="20"/>
        </w:rPr>
        <w:t>ing</w:t>
      </w:r>
      <w:r w:rsidR="00FD4603">
        <w:rPr>
          <w:sz w:val="20"/>
        </w:rPr>
        <w:t xml:space="preserve"> with increas</w:t>
      </w:r>
      <w:r w:rsidR="00E26173">
        <w:rPr>
          <w:sz w:val="20"/>
        </w:rPr>
        <w:t>ed</w:t>
      </w:r>
      <w:r w:rsidR="00FD4603">
        <w:rPr>
          <w:sz w:val="20"/>
        </w:rPr>
        <w:t xml:space="preserve"> fill </w:t>
      </w:r>
      <w:r w:rsidR="00887F9D">
        <w:rPr>
          <w:sz w:val="20"/>
        </w:rPr>
        <w:t>volume</w:t>
      </w:r>
      <w:r w:rsidR="00FD4603">
        <w:rPr>
          <w:sz w:val="20"/>
        </w:rPr>
        <w:t>.</w:t>
      </w:r>
      <w:r w:rsidR="00887F9D">
        <w:rPr>
          <w:sz w:val="20"/>
        </w:rPr>
        <w:t xml:space="preserve"> </w:t>
      </w:r>
      <w:r w:rsidR="00D85B50">
        <w:rPr>
          <w:sz w:val="20"/>
        </w:rPr>
        <w:t>Despite t</w:t>
      </w:r>
      <w:r w:rsidR="00887F9D">
        <w:rPr>
          <w:sz w:val="20"/>
        </w:rPr>
        <w:t xml:space="preserve">he </w:t>
      </w:r>
      <w:r w:rsidR="00D85B50">
        <w:rPr>
          <w:sz w:val="20"/>
        </w:rPr>
        <w:t xml:space="preserve">fact that the </w:t>
      </w:r>
      <w:r w:rsidR="00887F9D">
        <w:rPr>
          <w:sz w:val="20"/>
        </w:rPr>
        <w:t>FPF remains &gt;50% at all fill volumes</w:t>
      </w:r>
      <w:r w:rsidR="00FD4603">
        <w:rPr>
          <w:sz w:val="20"/>
        </w:rPr>
        <w:t xml:space="preserve"> </w:t>
      </w:r>
      <w:r w:rsidR="00D85B50">
        <w:rPr>
          <w:sz w:val="20"/>
        </w:rPr>
        <w:t>for each capsule size, t</w:t>
      </w:r>
      <w:r w:rsidR="00FD4603">
        <w:rPr>
          <w:sz w:val="20"/>
        </w:rPr>
        <w:t>he</w:t>
      </w:r>
      <w:r w:rsidR="00D84D2C">
        <w:rPr>
          <w:sz w:val="20"/>
        </w:rPr>
        <w:t xml:space="preserve"> </w:t>
      </w:r>
      <w:r w:rsidR="00D85B50">
        <w:rPr>
          <w:sz w:val="20"/>
        </w:rPr>
        <w:t>mass median aerodynamic diameter (MMAD)</w:t>
      </w:r>
      <w:r w:rsidR="00887F9D">
        <w:rPr>
          <w:sz w:val="20"/>
        </w:rPr>
        <w:t xml:space="preserve"> </w:t>
      </w:r>
      <w:r w:rsidR="00D84D2C">
        <w:rPr>
          <w:sz w:val="20"/>
        </w:rPr>
        <w:t>increas</w:t>
      </w:r>
      <w:r w:rsidR="00FD4603">
        <w:rPr>
          <w:sz w:val="20"/>
        </w:rPr>
        <w:t>es</w:t>
      </w:r>
      <w:r w:rsidR="00D84D2C">
        <w:rPr>
          <w:sz w:val="20"/>
        </w:rPr>
        <w:t xml:space="preserve"> </w:t>
      </w:r>
      <w:r w:rsidR="00887F9D">
        <w:rPr>
          <w:sz w:val="20"/>
        </w:rPr>
        <w:t>with increasing fill volume</w:t>
      </w:r>
      <w:r w:rsidR="00D84D2C">
        <w:rPr>
          <w:sz w:val="20"/>
        </w:rPr>
        <w:t xml:space="preserve"> (FP </w:t>
      </w:r>
      <w:r w:rsidR="00D85B50">
        <w:rPr>
          <w:sz w:val="20"/>
        </w:rPr>
        <w:t xml:space="preserve">from </w:t>
      </w:r>
      <w:r w:rsidR="00D84D2C">
        <w:rPr>
          <w:sz w:val="20"/>
        </w:rPr>
        <w:t>2.7</w:t>
      </w:r>
      <w:r w:rsidR="00D85B50">
        <w:rPr>
          <w:rFonts w:cs="Arial"/>
          <w:sz w:val="20"/>
        </w:rPr>
        <w:t>µ</w:t>
      </w:r>
      <w:r w:rsidR="00D85B50">
        <w:rPr>
          <w:sz w:val="20"/>
        </w:rPr>
        <w:t>m</w:t>
      </w:r>
      <w:r w:rsidR="00887F9D">
        <w:rPr>
          <w:sz w:val="20"/>
        </w:rPr>
        <w:t xml:space="preserve"> </w:t>
      </w:r>
      <w:r w:rsidR="00EB7A0C">
        <w:rPr>
          <w:sz w:val="20"/>
        </w:rPr>
        <w:t>to</w:t>
      </w:r>
      <w:r w:rsidR="00887F9D">
        <w:rPr>
          <w:sz w:val="20"/>
        </w:rPr>
        <w:t xml:space="preserve"> </w:t>
      </w:r>
      <w:r w:rsidR="00D84D2C">
        <w:rPr>
          <w:sz w:val="20"/>
        </w:rPr>
        <w:t>5.5</w:t>
      </w:r>
      <w:r w:rsidR="00D84D2C">
        <w:rPr>
          <w:rFonts w:cs="Arial"/>
          <w:sz w:val="20"/>
        </w:rPr>
        <w:t>µ</w:t>
      </w:r>
      <w:r w:rsidR="00D84D2C">
        <w:rPr>
          <w:sz w:val="20"/>
        </w:rPr>
        <w:t xml:space="preserve">m and SX </w:t>
      </w:r>
      <w:r w:rsidR="00D85B50">
        <w:rPr>
          <w:sz w:val="20"/>
        </w:rPr>
        <w:t xml:space="preserve">from </w:t>
      </w:r>
      <w:r w:rsidR="00D84D2C">
        <w:rPr>
          <w:sz w:val="20"/>
        </w:rPr>
        <w:t>2.7</w:t>
      </w:r>
      <w:r w:rsidR="00EB7A0C">
        <w:rPr>
          <w:rFonts w:cs="Arial"/>
          <w:sz w:val="20"/>
        </w:rPr>
        <w:t>µ</w:t>
      </w:r>
      <w:r w:rsidR="00EB7A0C">
        <w:rPr>
          <w:sz w:val="20"/>
        </w:rPr>
        <w:t>m</w:t>
      </w:r>
      <w:r w:rsidR="00887F9D">
        <w:rPr>
          <w:sz w:val="20"/>
        </w:rPr>
        <w:t xml:space="preserve"> </w:t>
      </w:r>
      <w:r w:rsidR="00EB7A0C">
        <w:rPr>
          <w:sz w:val="20"/>
        </w:rPr>
        <w:t>to</w:t>
      </w:r>
      <w:r w:rsidR="00887F9D">
        <w:rPr>
          <w:sz w:val="20"/>
        </w:rPr>
        <w:t xml:space="preserve"> </w:t>
      </w:r>
      <w:r w:rsidR="00D84D2C">
        <w:rPr>
          <w:sz w:val="20"/>
        </w:rPr>
        <w:t>5.6</w:t>
      </w:r>
      <w:r w:rsidR="00D84D2C">
        <w:rPr>
          <w:rFonts w:cs="Arial"/>
          <w:sz w:val="20"/>
        </w:rPr>
        <w:t>µ</w:t>
      </w:r>
      <w:r w:rsidR="00D84D2C">
        <w:rPr>
          <w:sz w:val="20"/>
        </w:rPr>
        <w:t>m)</w:t>
      </w:r>
      <w:r w:rsidR="00887F9D">
        <w:rPr>
          <w:sz w:val="20"/>
        </w:rPr>
        <w:t xml:space="preserve"> reflecting</w:t>
      </w:r>
      <w:r w:rsidR="00485694">
        <w:rPr>
          <w:sz w:val="20"/>
        </w:rPr>
        <w:t xml:space="preserve"> that the RS01 delivers slightly l</w:t>
      </w:r>
      <w:r w:rsidR="00887F9D">
        <w:rPr>
          <w:sz w:val="20"/>
        </w:rPr>
        <w:t xml:space="preserve">ess </w:t>
      </w:r>
      <w:r w:rsidR="00FD4D43">
        <w:rPr>
          <w:sz w:val="20"/>
        </w:rPr>
        <w:t xml:space="preserve">efficient  aerosolisation </w:t>
      </w:r>
      <w:r w:rsidR="00887F9D">
        <w:rPr>
          <w:sz w:val="20"/>
        </w:rPr>
        <w:t>of th</w:t>
      </w:r>
      <w:r w:rsidR="00485694">
        <w:rPr>
          <w:sz w:val="20"/>
        </w:rPr>
        <w:t>is API/Carrier</w:t>
      </w:r>
      <w:r w:rsidR="00887F9D">
        <w:rPr>
          <w:sz w:val="20"/>
        </w:rPr>
        <w:t xml:space="preserve"> </w:t>
      </w:r>
      <w:r w:rsidR="00EB7A0C">
        <w:rPr>
          <w:sz w:val="20"/>
        </w:rPr>
        <w:t>p</w:t>
      </w:r>
      <w:r w:rsidR="00887F9D">
        <w:rPr>
          <w:sz w:val="20"/>
        </w:rPr>
        <w:t xml:space="preserve">owder </w:t>
      </w:r>
      <w:r w:rsidR="00485694">
        <w:rPr>
          <w:sz w:val="20"/>
        </w:rPr>
        <w:t xml:space="preserve">combination as the fill volume increases, due to a combination of the dispersion force available </w:t>
      </w:r>
      <w:r w:rsidR="00D04A22">
        <w:rPr>
          <w:sz w:val="20"/>
        </w:rPr>
        <w:t>to aid redispersion within the</w:t>
      </w:r>
      <w:r w:rsidR="00887F9D">
        <w:rPr>
          <w:sz w:val="20"/>
        </w:rPr>
        <w:t xml:space="preserve"> free space available in the punctured capsule</w:t>
      </w:r>
      <w:r w:rsidR="00D85B50">
        <w:rPr>
          <w:sz w:val="20"/>
        </w:rPr>
        <w:t>.</w:t>
      </w:r>
    </w:p>
    <w:p w14:paraId="0A622760" w14:textId="5FEDCC28" w:rsidR="00BC2EFA" w:rsidRDefault="00D85B50" w:rsidP="006F6CE6">
      <w:pPr>
        <w:pStyle w:val="DDLBodyText"/>
        <w:rPr>
          <w:sz w:val="20"/>
        </w:rPr>
      </w:pPr>
      <w:r>
        <w:rPr>
          <w:sz w:val="20"/>
        </w:rPr>
        <w:t>In contrast, t</w:t>
      </w:r>
      <w:r w:rsidR="00D84D2C">
        <w:rPr>
          <w:sz w:val="20"/>
        </w:rPr>
        <w:t xml:space="preserve">he FPF performance of </w:t>
      </w:r>
      <w:r w:rsidR="000064C8">
        <w:rPr>
          <w:sz w:val="20"/>
        </w:rPr>
        <w:t>the mannitol formulations</w:t>
      </w:r>
      <w:r w:rsidR="00474875">
        <w:rPr>
          <w:sz w:val="20"/>
        </w:rPr>
        <w:t xml:space="preserve"> </w:t>
      </w:r>
      <w:r>
        <w:rPr>
          <w:sz w:val="20"/>
        </w:rPr>
        <w:t xml:space="preserve">shows </w:t>
      </w:r>
      <w:r w:rsidR="00816EAF">
        <w:rPr>
          <w:sz w:val="20"/>
        </w:rPr>
        <w:t xml:space="preserve">no discernible </w:t>
      </w:r>
      <w:r w:rsidR="002B40B3">
        <w:rPr>
          <w:sz w:val="20"/>
        </w:rPr>
        <w:t>FPF</w:t>
      </w:r>
      <w:r>
        <w:rPr>
          <w:sz w:val="20"/>
        </w:rPr>
        <w:t xml:space="preserve"> trend with fill volume or capsule size and </w:t>
      </w:r>
      <w:r w:rsidR="00485694">
        <w:rPr>
          <w:sz w:val="20"/>
        </w:rPr>
        <w:t>i</w:t>
      </w:r>
      <w:r>
        <w:rPr>
          <w:sz w:val="20"/>
        </w:rPr>
        <w:t>s</w:t>
      </w:r>
      <w:r w:rsidR="002B40B3">
        <w:rPr>
          <w:sz w:val="20"/>
        </w:rPr>
        <w:t xml:space="preserve"> a</w:t>
      </w:r>
      <w:r w:rsidR="00D84D2C">
        <w:rPr>
          <w:sz w:val="20"/>
        </w:rPr>
        <w:t>pproximately</w:t>
      </w:r>
      <w:r w:rsidR="002B40B3">
        <w:rPr>
          <w:sz w:val="20"/>
        </w:rPr>
        <w:t xml:space="preserve"> 75% for both FP and SX</w:t>
      </w:r>
      <w:r>
        <w:rPr>
          <w:sz w:val="20"/>
        </w:rPr>
        <w:t>. Th</w:t>
      </w:r>
      <w:r w:rsidR="00BC2EFA">
        <w:rPr>
          <w:sz w:val="20"/>
        </w:rPr>
        <w:t>is</w:t>
      </w:r>
      <w:r>
        <w:rPr>
          <w:sz w:val="20"/>
        </w:rPr>
        <w:t xml:space="preserve"> is reflected in </w:t>
      </w:r>
      <w:r w:rsidR="00266B43">
        <w:rPr>
          <w:sz w:val="20"/>
        </w:rPr>
        <w:t>consistent performance</w:t>
      </w:r>
      <w:r>
        <w:rPr>
          <w:sz w:val="20"/>
        </w:rPr>
        <w:t xml:space="preserve"> </w:t>
      </w:r>
      <w:r w:rsidR="00EF4EE8">
        <w:rPr>
          <w:sz w:val="20"/>
        </w:rPr>
        <w:t xml:space="preserve">delivering </w:t>
      </w:r>
      <w:r w:rsidR="00726AB9">
        <w:rPr>
          <w:sz w:val="20"/>
        </w:rPr>
        <w:t xml:space="preserve">very fine </w:t>
      </w:r>
      <w:r w:rsidR="00485694">
        <w:rPr>
          <w:sz w:val="20"/>
        </w:rPr>
        <w:t>dispersion of</w:t>
      </w:r>
      <w:r w:rsidR="00726AB9">
        <w:rPr>
          <w:sz w:val="20"/>
        </w:rPr>
        <w:t xml:space="preserve"> both FP (</w:t>
      </w:r>
      <w:r w:rsidR="00BC2EFA">
        <w:rPr>
          <w:sz w:val="20"/>
        </w:rPr>
        <w:t xml:space="preserve">MMAD </w:t>
      </w:r>
      <w:r w:rsidR="00726AB9">
        <w:rPr>
          <w:sz w:val="20"/>
        </w:rPr>
        <w:t>~</w:t>
      </w:r>
      <w:r w:rsidR="00624E08">
        <w:rPr>
          <w:sz w:val="20"/>
        </w:rPr>
        <w:t>2.2</w:t>
      </w:r>
      <w:r w:rsidR="00624E08">
        <w:rPr>
          <w:rFonts w:cs="Arial"/>
          <w:sz w:val="20"/>
        </w:rPr>
        <w:t>µ</w:t>
      </w:r>
      <w:r w:rsidR="00624E08">
        <w:rPr>
          <w:sz w:val="20"/>
        </w:rPr>
        <w:t>m) and SX (</w:t>
      </w:r>
      <w:r w:rsidR="00BC2EFA">
        <w:rPr>
          <w:sz w:val="20"/>
        </w:rPr>
        <w:t xml:space="preserve">MMAD </w:t>
      </w:r>
      <w:r w:rsidR="00624E08">
        <w:rPr>
          <w:sz w:val="20"/>
        </w:rPr>
        <w:t>~2.3</w:t>
      </w:r>
      <w:r w:rsidR="00624E08">
        <w:rPr>
          <w:rFonts w:cs="Arial"/>
          <w:sz w:val="20"/>
        </w:rPr>
        <w:t>µ</w:t>
      </w:r>
      <w:r w:rsidR="00624E08">
        <w:rPr>
          <w:sz w:val="20"/>
        </w:rPr>
        <w:t xml:space="preserve">m). </w:t>
      </w:r>
      <w:r w:rsidR="00485694">
        <w:rPr>
          <w:sz w:val="20"/>
        </w:rPr>
        <w:t>This suggest</w:t>
      </w:r>
      <w:r w:rsidR="00BC2EFA">
        <w:rPr>
          <w:sz w:val="20"/>
        </w:rPr>
        <w:t>s</w:t>
      </w:r>
      <w:r w:rsidR="00485694">
        <w:rPr>
          <w:sz w:val="20"/>
        </w:rPr>
        <w:t xml:space="preserve"> the dispersion forces drawn through the RS01 are sufficient to fully dispers</w:t>
      </w:r>
      <w:r w:rsidR="00A90F26">
        <w:rPr>
          <w:sz w:val="20"/>
        </w:rPr>
        <w:t>e</w:t>
      </w:r>
      <w:r w:rsidR="00485694">
        <w:rPr>
          <w:sz w:val="20"/>
        </w:rPr>
        <w:t xml:space="preserve"> the powder. </w:t>
      </w:r>
      <w:r w:rsidR="0077500C">
        <w:rPr>
          <w:sz w:val="20"/>
        </w:rPr>
        <w:t xml:space="preserve">An </w:t>
      </w:r>
      <w:r w:rsidR="0077500C">
        <w:rPr>
          <w:sz w:val="20"/>
        </w:rPr>
        <w:lastRenderedPageBreak/>
        <w:t xml:space="preserve">interesting observation </w:t>
      </w:r>
      <w:r w:rsidR="00485694">
        <w:rPr>
          <w:sz w:val="20"/>
        </w:rPr>
        <w:t xml:space="preserve">is </w:t>
      </w:r>
      <w:r w:rsidR="0077500C">
        <w:rPr>
          <w:sz w:val="20"/>
        </w:rPr>
        <w:t xml:space="preserve">that even </w:t>
      </w:r>
      <w:r w:rsidR="00BA5825">
        <w:rPr>
          <w:sz w:val="20"/>
        </w:rPr>
        <w:t>at the 60% fill volume</w:t>
      </w:r>
      <w:r w:rsidR="00BC2EFA">
        <w:rPr>
          <w:sz w:val="20"/>
        </w:rPr>
        <w:t>,</w:t>
      </w:r>
      <w:r w:rsidR="00BA5825">
        <w:rPr>
          <w:sz w:val="20"/>
        </w:rPr>
        <w:t xml:space="preserve"> high FPF</w:t>
      </w:r>
      <w:r w:rsidR="00485694">
        <w:rPr>
          <w:sz w:val="20"/>
        </w:rPr>
        <w:t xml:space="preserve"> performance</w:t>
      </w:r>
      <w:r w:rsidR="0077500C">
        <w:rPr>
          <w:sz w:val="20"/>
        </w:rPr>
        <w:t xml:space="preserve"> (</w:t>
      </w:r>
      <w:r w:rsidR="00FA180B">
        <w:rPr>
          <w:sz w:val="20"/>
        </w:rPr>
        <w:t>~70% with FP and 6</w:t>
      </w:r>
      <w:r w:rsidR="00F7592F">
        <w:rPr>
          <w:sz w:val="20"/>
        </w:rPr>
        <w:t>0% with SX)</w:t>
      </w:r>
      <w:r w:rsidR="00BA5825">
        <w:rPr>
          <w:sz w:val="20"/>
        </w:rPr>
        <w:t xml:space="preserve"> </w:t>
      </w:r>
      <w:r w:rsidR="00485694">
        <w:rPr>
          <w:sz w:val="20"/>
        </w:rPr>
        <w:t xml:space="preserve">is </w:t>
      </w:r>
      <w:r w:rsidR="00BA5825">
        <w:rPr>
          <w:sz w:val="20"/>
        </w:rPr>
        <w:t>observed</w:t>
      </w:r>
      <w:r w:rsidR="00485694">
        <w:rPr>
          <w:sz w:val="20"/>
        </w:rPr>
        <w:t xml:space="preserve"> </w:t>
      </w:r>
      <w:r w:rsidR="00BA5825">
        <w:rPr>
          <w:sz w:val="20"/>
        </w:rPr>
        <w:t xml:space="preserve">even </w:t>
      </w:r>
      <w:r w:rsidR="00523311">
        <w:rPr>
          <w:sz w:val="20"/>
        </w:rPr>
        <w:t>when</w:t>
      </w:r>
      <w:r w:rsidR="00BA5825">
        <w:rPr>
          <w:sz w:val="20"/>
        </w:rPr>
        <w:t xml:space="preserve"> the FPD </w:t>
      </w:r>
      <w:r w:rsidR="00BC2EFA">
        <w:rPr>
          <w:sz w:val="20"/>
        </w:rPr>
        <w:t>is</w:t>
      </w:r>
      <w:r w:rsidR="00BA5825">
        <w:rPr>
          <w:sz w:val="20"/>
        </w:rPr>
        <w:t xml:space="preserve"> low</w:t>
      </w:r>
      <w:r w:rsidR="00D04A22">
        <w:rPr>
          <w:sz w:val="20"/>
        </w:rPr>
        <w:t xml:space="preserve">er than </w:t>
      </w:r>
      <w:r w:rsidR="00BC2EFA">
        <w:rPr>
          <w:sz w:val="20"/>
        </w:rPr>
        <w:t>anticipated.</w:t>
      </w:r>
      <w:r w:rsidR="00523311">
        <w:rPr>
          <w:sz w:val="20"/>
        </w:rPr>
        <w:t xml:space="preserve"> </w:t>
      </w:r>
    </w:p>
    <w:p w14:paraId="4B6813B4" w14:textId="3AE9ADE8" w:rsidR="004A3AEA" w:rsidRDefault="00BC2EFA" w:rsidP="006F6CE6">
      <w:pPr>
        <w:pStyle w:val="DDLBodyText"/>
        <w:rPr>
          <w:sz w:val="20"/>
        </w:rPr>
      </w:pPr>
      <w:r>
        <w:rPr>
          <w:sz w:val="20"/>
        </w:rPr>
        <w:t>If the lactose and mannitol formulation performance characteristics in RS01 are compared, it appears that the mannitol in this case may provide formulation advantages over the lactose although it should be stressed that none of the formulations studied has been subjected to full optimisation studies that would be required for full product definition</w:t>
      </w:r>
      <w:r w:rsidR="004A3AEA">
        <w:rPr>
          <w:sz w:val="20"/>
        </w:rPr>
        <w:t>.</w:t>
      </w:r>
    </w:p>
    <w:p w14:paraId="2C29E471" w14:textId="7BE6C547" w:rsidR="009C3583" w:rsidRDefault="00E574B5" w:rsidP="006F6CE6">
      <w:pPr>
        <w:pStyle w:val="DDLBodyText"/>
        <w:rPr>
          <w:sz w:val="20"/>
        </w:rPr>
      </w:pPr>
      <w:r>
        <w:rPr>
          <w:noProof/>
          <w:sz w:val="20"/>
        </w:rPr>
        <w:drawing>
          <wp:inline distT="0" distB="0" distL="0" distR="0" wp14:anchorId="758BC350" wp14:editId="7079882C">
            <wp:extent cx="5760000" cy="3882787"/>
            <wp:effectExtent l="0" t="0" r="0" b="3810"/>
            <wp:docPr id="10166333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60000" cy="3882787"/>
                    </a:xfrm>
                    <a:prstGeom prst="rect">
                      <a:avLst/>
                    </a:prstGeom>
                    <a:noFill/>
                  </pic:spPr>
                </pic:pic>
              </a:graphicData>
            </a:graphic>
          </wp:inline>
        </w:drawing>
      </w:r>
    </w:p>
    <w:p w14:paraId="7C065FD4" w14:textId="7AF7983B" w:rsidR="009C3583" w:rsidRPr="00C34FDF" w:rsidRDefault="00C34FDF" w:rsidP="00C34FDF">
      <w:pPr>
        <w:pStyle w:val="Caption"/>
        <w:rPr>
          <w:b w:val="0"/>
          <w:bCs w:val="0"/>
          <w:sz w:val="18"/>
          <w:szCs w:val="18"/>
        </w:rPr>
      </w:pPr>
      <w:r w:rsidRPr="00C34FDF">
        <w:rPr>
          <w:sz w:val="18"/>
          <w:szCs w:val="18"/>
        </w:rPr>
        <w:t>Figure 3</w:t>
      </w:r>
      <w:r>
        <w:rPr>
          <w:sz w:val="18"/>
          <w:szCs w:val="18"/>
        </w:rPr>
        <w:t xml:space="preserve">: </w:t>
      </w:r>
      <w:r>
        <w:rPr>
          <w:b w:val="0"/>
          <w:bCs w:val="0"/>
          <w:sz w:val="18"/>
          <w:szCs w:val="18"/>
        </w:rPr>
        <w:t>Fine Particle Fraction as a function of capsule fill volume and capsule fill size</w:t>
      </w:r>
    </w:p>
    <w:p w14:paraId="6B344149" w14:textId="0A285296" w:rsidR="00A17C61" w:rsidRPr="00A17C61" w:rsidRDefault="00A17C61" w:rsidP="00D156FE">
      <w:pPr>
        <w:pStyle w:val="DDLBodyText"/>
        <w:rPr>
          <w:b/>
          <w:bCs/>
          <w:sz w:val="20"/>
        </w:rPr>
      </w:pPr>
      <w:r w:rsidRPr="00A17C61">
        <w:rPr>
          <w:b/>
          <w:bCs/>
          <w:sz w:val="20"/>
        </w:rPr>
        <w:t>Conclusion</w:t>
      </w:r>
    </w:p>
    <w:p w14:paraId="5A5BC639" w14:textId="5F6BA0DF" w:rsidR="00315160" w:rsidRPr="00315160" w:rsidRDefault="002F311A" w:rsidP="00315160">
      <w:pPr>
        <w:pStyle w:val="DDLBodyText"/>
        <w:rPr>
          <w:sz w:val="20"/>
        </w:rPr>
      </w:pPr>
      <w:r>
        <w:rPr>
          <w:sz w:val="20"/>
        </w:rPr>
        <w:t>This study</w:t>
      </w:r>
      <w:r w:rsidR="00E42EE1">
        <w:rPr>
          <w:sz w:val="20"/>
        </w:rPr>
        <w:t xml:space="preserve"> </w:t>
      </w:r>
      <w:r w:rsidR="00AA717E">
        <w:rPr>
          <w:sz w:val="20"/>
        </w:rPr>
        <w:t xml:space="preserve">highlights </w:t>
      </w:r>
      <w:r w:rsidR="00E42EE1">
        <w:rPr>
          <w:sz w:val="20"/>
        </w:rPr>
        <w:t>the capability of iDPC</w:t>
      </w:r>
      <w:r w:rsidR="00AA717E">
        <w:rPr>
          <w:sz w:val="20"/>
        </w:rPr>
        <w:t xml:space="preserve"> formulation coupled to RS01</w:t>
      </w:r>
      <w:r w:rsidR="00E42EE1">
        <w:rPr>
          <w:sz w:val="20"/>
        </w:rPr>
        <w:t xml:space="preserve"> </w:t>
      </w:r>
      <w:r w:rsidR="00AA717E">
        <w:rPr>
          <w:sz w:val="20"/>
        </w:rPr>
        <w:t>to deliver high doses of respirable APIs.</w:t>
      </w:r>
      <w:r w:rsidR="00E42EE1">
        <w:rPr>
          <w:sz w:val="20"/>
        </w:rPr>
        <w:t xml:space="preserve"> </w:t>
      </w:r>
      <w:r w:rsidR="00AA717E">
        <w:rPr>
          <w:sz w:val="20"/>
        </w:rPr>
        <w:t xml:space="preserve">Inhaler </w:t>
      </w:r>
      <w:r w:rsidR="00983075">
        <w:rPr>
          <w:sz w:val="20"/>
        </w:rPr>
        <w:t xml:space="preserve">performance </w:t>
      </w:r>
      <w:r w:rsidR="00AA717E">
        <w:rPr>
          <w:sz w:val="20"/>
        </w:rPr>
        <w:t>utilising concentrated formulations (75%</w:t>
      </w:r>
      <w:r w:rsidR="00AA717E" w:rsidRPr="002D0420">
        <w:rPr>
          <w:sz w:val="20"/>
          <w:vertAlign w:val="superscript"/>
        </w:rPr>
        <w:t>w</w:t>
      </w:r>
      <w:r w:rsidR="00AA717E">
        <w:rPr>
          <w:sz w:val="20"/>
        </w:rPr>
        <w:t>/</w:t>
      </w:r>
      <w:r w:rsidR="00AA717E" w:rsidRPr="002D0420">
        <w:rPr>
          <w:sz w:val="14"/>
          <w:szCs w:val="14"/>
        </w:rPr>
        <w:t>w</w:t>
      </w:r>
      <w:r w:rsidR="00AA717E">
        <w:rPr>
          <w:sz w:val="20"/>
        </w:rPr>
        <w:t>) of FP and of SX in both lactose (</w:t>
      </w:r>
      <w:r w:rsidR="00AA717E">
        <w:rPr>
          <w:sz w:val="20"/>
          <w:szCs w:val="22"/>
        </w:rPr>
        <w:t>Lactohale</w:t>
      </w:r>
      <w:r w:rsidR="00AA717E" w:rsidRPr="00DC319C">
        <w:rPr>
          <w:rFonts w:cs="Arial"/>
          <w:sz w:val="20"/>
          <w:szCs w:val="22"/>
          <w:vertAlign w:val="superscript"/>
        </w:rPr>
        <w:t>®</w:t>
      </w:r>
      <w:r w:rsidR="00AA717E">
        <w:rPr>
          <w:sz w:val="20"/>
          <w:szCs w:val="22"/>
        </w:rPr>
        <w:t xml:space="preserve"> 100</w:t>
      </w:r>
      <w:r w:rsidR="00AA717E">
        <w:rPr>
          <w:sz w:val="20"/>
        </w:rPr>
        <w:t>) and mannitol (</w:t>
      </w:r>
      <w:r w:rsidR="00AA717E">
        <w:rPr>
          <w:sz w:val="20"/>
          <w:szCs w:val="22"/>
        </w:rPr>
        <w:t>Pearlitol</w:t>
      </w:r>
      <w:r w:rsidR="00AA717E" w:rsidRPr="00DC319C">
        <w:rPr>
          <w:rFonts w:cs="Arial"/>
          <w:sz w:val="20"/>
          <w:szCs w:val="22"/>
          <w:vertAlign w:val="superscript"/>
        </w:rPr>
        <w:t>®</w:t>
      </w:r>
      <w:r w:rsidR="00AA717E">
        <w:rPr>
          <w:rFonts w:cs="Arial"/>
          <w:sz w:val="20"/>
          <w:szCs w:val="22"/>
          <w:vertAlign w:val="superscript"/>
        </w:rPr>
        <w:t xml:space="preserve"> </w:t>
      </w:r>
      <w:r w:rsidR="00AA717E">
        <w:rPr>
          <w:rFonts w:cs="Arial"/>
          <w:sz w:val="20"/>
          <w:szCs w:val="22"/>
        </w:rPr>
        <w:t xml:space="preserve">200 SD) </w:t>
      </w:r>
      <w:r w:rsidR="00AA717E">
        <w:rPr>
          <w:sz w:val="20"/>
        </w:rPr>
        <w:t xml:space="preserve">carriers has been accessed across </w:t>
      </w:r>
      <w:r w:rsidR="00983075">
        <w:rPr>
          <w:sz w:val="20"/>
        </w:rPr>
        <w:t>different capsule fill volumes and capsule sizes</w:t>
      </w:r>
      <w:r w:rsidR="00AA717E">
        <w:rPr>
          <w:sz w:val="20"/>
        </w:rPr>
        <w:t xml:space="preserve">. Highly efficient aerosolisation was </w:t>
      </w:r>
      <w:r w:rsidR="00703D0F">
        <w:rPr>
          <w:sz w:val="20"/>
        </w:rPr>
        <w:t>measured</w:t>
      </w:r>
      <w:r w:rsidR="00AA717E">
        <w:rPr>
          <w:sz w:val="20"/>
        </w:rPr>
        <w:t xml:space="preserve"> </w:t>
      </w:r>
      <w:r w:rsidR="00703D0F">
        <w:rPr>
          <w:sz w:val="20"/>
        </w:rPr>
        <w:t>with</w:t>
      </w:r>
      <w:r w:rsidR="00AA717E">
        <w:rPr>
          <w:sz w:val="20"/>
        </w:rPr>
        <w:t xml:space="preserve"> all combinations</w:t>
      </w:r>
      <w:r w:rsidR="00703D0F">
        <w:rPr>
          <w:sz w:val="20"/>
        </w:rPr>
        <w:t xml:space="preserve"> studied. This work demonstrates that efficient delivery of APIs can be achieved utilising a proven inhalation device (Monodose RS01), and formulations of conventional micronised APIs and proven inhalation grade carriers processed by isothermal Dry Particle Coating</w:t>
      </w:r>
    </w:p>
    <w:p w14:paraId="57DCC100" w14:textId="60F7C783" w:rsidR="00A515A9" w:rsidRDefault="007D307A" w:rsidP="001D3077">
      <w:pPr>
        <w:pStyle w:val="DDLHeading1"/>
      </w:pPr>
      <w:r w:rsidRPr="001D3077">
        <w:rPr>
          <w:sz w:val="20"/>
          <w:szCs w:val="36"/>
        </w:rPr>
        <w:t>References</w:t>
      </w:r>
    </w:p>
    <w:p w14:paraId="517FBD2F" w14:textId="77777777" w:rsidR="00D7328A" w:rsidRDefault="00D7328A" w:rsidP="00D7328A">
      <w:pPr>
        <w:pStyle w:val="DDLBodyText"/>
        <w:rPr>
          <w:rFonts w:cs="Arial"/>
          <w:sz w:val="16"/>
          <w:szCs w:val="16"/>
        </w:rPr>
      </w:pPr>
      <w:r w:rsidRPr="003D0000">
        <w:rPr>
          <w:sz w:val="16"/>
          <w:szCs w:val="18"/>
        </w:rPr>
        <w:t>[</w:t>
      </w:r>
      <w:r w:rsidRPr="003D0000">
        <w:rPr>
          <w:rStyle w:val="EndnoteReference"/>
          <w:sz w:val="16"/>
          <w:szCs w:val="16"/>
          <w:vertAlign w:val="baseline"/>
        </w:rPr>
        <w:footnoteRef/>
      </w:r>
      <w:r w:rsidRPr="003D0000">
        <w:rPr>
          <w:sz w:val="16"/>
          <w:szCs w:val="18"/>
        </w:rPr>
        <w:t>]</w:t>
      </w:r>
      <w:r>
        <w:rPr>
          <w:sz w:val="16"/>
          <w:szCs w:val="18"/>
        </w:rPr>
        <w:t xml:space="preserve"> </w:t>
      </w:r>
      <w:r w:rsidRPr="001D42FB">
        <w:rPr>
          <w:rFonts w:cs="Arial"/>
          <w:sz w:val="16"/>
          <w:szCs w:val="16"/>
        </w:rPr>
        <w:t xml:space="preserve">Mohammed A R, Dahmash E, Ahmed J, Drew T:  </w:t>
      </w:r>
      <w:r w:rsidRPr="001D42FB">
        <w:rPr>
          <w:rFonts w:cs="Arial"/>
          <w:i/>
          <w:iCs/>
          <w:sz w:val="16"/>
          <w:szCs w:val="16"/>
        </w:rPr>
        <w:t>Patent WO2016066462A1</w:t>
      </w:r>
      <w:r w:rsidRPr="001D42FB">
        <w:rPr>
          <w:rFonts w:cs="Arial"/>
          <w:sz w:val="16"/>
          <w:szCs w:val="16"/>
        </w:rPr>
        <w:t xml:space="preserve"> </w:t>
      </w:r>
      <w:r w:rsidRPr="001D42FB">
        <w:rPr>
          <w:rFonts w:cs="Arial"/>
          <w:i/>
          <w:sz w:val="16"/>
          <w:szCs w:val="16"/>
        </w:rPr>
        <w:t xml:space="preserve">Coating apparatus and method. </w:t>
      </w:r>
      <w:r w:rsidRPr="001D42FB">
        <w:rPr>
          <w:rFonts w:cs="Arial"/>
          <w:sz w:val="16"/>
          <w:szCs w:val="16"/>
        </w:rPr>
        <w:t>2016</w:t>
      </w:r>
    </w:p>
    <w:p w14:paraId="5FA370D7" w14:textId="679F00AC" w:rsidR="00FC3D86" w:rsidRDefault="00FC3D86" w:rsidP="00D7328A">
      <w:pPr>
        <w:pStyle w:val="DDLBodyText"/>
        <w:rPr>
          <w:rFonts w:cs="Arial"/>
          <w:sz w:val="16"/>
          <w:szCs w:val="16"/>
        </w:rPr>
      </w:pPr>
      <w:r>
        <w:rPr>
          <w:rFonts w:cs="Arial"/>
          <w:sz w:val="16"/>
          <w:szCs w:val="16"/>
        </w:rPr>
        <w:t xml:space="preserve">[2] Scherlieβ R, Eschmann C: </w:t>
      </w:r>
      <w:r>
        <w:rPr>
          <w:rFonts w:cs="Arial"/>
          <w:i/>
          <w:iCs/>
          <w:sz w:val="16"/>
          <w:szCs w:val="16"/>
        </w:rPr>
        <w:t xml:space="preserve">DPI formulations for high dose applications – Challenges and opportunities, </w:t>
      </w:r>
      <w:r>
        <w:rPr>
          <w:rFonts w:cs="Arial"/>
          <w:sz w:val="16"/>
          <w:szCs w:val="16"/>
        </w:rPr>
        <w:t>Int J Pharm 2018; 548 (1): pp49-53.</w:t>
      </w:r>
    </w:p>
    <w:p w14:paraId="4AF7E301" w14:textId="23492E99" w:rsidR="00C559C7" w:rsidRDefault="00C559C7" w:rsidP="00D7328A">
      <w:pPr>
        <w:pStyle w:val="DDLBodyText"/>
        <w:rPr>
          <w:rFonts w:cs="Arial"/>
          <w:sz w:val="16"/>
          <w:szCs w:val="16"/>
        </w:rPr>
      </w:pPr>
      <w:r>
        <w:rPr>
          <w:rFonts w:cs="Arial"/>
          <w:sz w:val="16"/>
          <w:szCs w:val="16"/>
        </w:rPr>
        <w:t>[3] Hoppentocht M, Hagedoorn P, Frijlink H.W, de Boer A.H:</w:t>
      </w:r>
      <w:r w:rsidR="00EB3D52">
        <w:rPr>
          <w:rFonts w:cs="Arial"/>
          <w:sz w:val="16"/>
          <w:szCs w:val="16"/>
        </w:rPr>
        <w:t xml:space="preserve"> </w:t>
      </w:r>
      <w:r w:rsidR="00EB3D52">
        <w:rPr>
          <w:rFonts w:cs="Arial"/>
          <w:i/>
          <w:iCs/>
          <w:sz w:val="16"/>
          <w:szCs w:val="16"/>
        </w:rPr>
        <w:t xml:space="preserve">Technological and practical challenges of dry powder inhalers and formulations, </w:t>
      </w:r>
      <w:r w:rsidR="00EB3D52">
        <w:rPr>
          <w:rFonts w:cs="Arial"/>
          <w:sz w:val="16"/>
          <w:szCs w:val="16"/>
        </w:rPr>
        <w:t>Adv Drug Deliv Rev 2014; 75: pp18-31.</w:t>
      </w:r>
    </w:p>
    <w:p w14:paraId="00187F4E" w14:textId="1069A97D" w:rsidR="007F0CAA" w:rsidRPr="00FC3D86" w:rsidRDefault="007F0CAA" w:rsidP="00D7328A">
      <w:pPr>
        <w:pStyle w:val="DDLBodyText"/>
        <w:rPr>
          <w:rFonts w:cs="Arial"/>
          <w:sz w:val="16"/>
          <w:szCs w:val="16"/>
        </w:rPr>
      </w:pPr>
      <w:r>
        <w:rPr>
          <w:rFonts w:cs="Arial"/>
          <w:sz w:val="16"/>
          <w:szCs w:val="16"/>
        </w:rPr>
        <w:t xml:space="preserve">[4] Momin M.A.M, Tucker I.G, Das S.C: </w:t>
      </w:r>
      <w:r>
        <w:rPr>
          <w:rFonts w:cs="Arial"/>
          <w:i/>
          <w:iCs/>
          <w:sz w:val="16"/>
          <w:szCs w:val="16"/>
        </w:rPr>
        <w:t xml:space="preserve">High dose dry powder inhalers to overcome the challenges of tuberculosis treatment, </w:t>
      </w:r>
      <w:r>
        <w:rPr>
          <w:rFonts w:cs="Arial"/>
          <w:sz w:val="16"/>
          <w:szCs w:val="16"/>
        </w:rPr>
        <w:t xml:space="preserve">Int J Pharm 2018; 550 (1-2): pp398-417. </w:t>
      </w:r>
    </w:p>
    <w:p w14:paraId="74A1D770" w14:textId="38BDDBAE" w:rsidR="00AF5D2D" w:rsidRPr="00A057BC" w:rsidRDefault="00D7328A" w:rsidP="00D7328A">
      <w:pPr>
        <w:pStyle w:val="DDLBodyText"/>
        <w:rPr>
          <w:rFonts w:cs="Arial"/>
          <w:sz w:val="16"/>
          <w:szCs w:val="16"/>
        </w:rPr>
      </w:pPr>
      <w:r>
        <w:rPr>
          <w:rFonts w:cs="Arial"/>
          <w:sz w:val="16"/>
          <w:szCs w:val="16"/>
        </w:rPr>
        <w:t>[</w:t>
      </w:r>
      <w:r w:rsidR="00E0484A">
        <w:rPr>
          <w:rFonts w:cs="Arial"/>
          <w:sz w:val="16"/>
          <w:szCs w:val="16"/>
        </w:rPr>
        <w:t>5</w:t>
      </w:r>
      <w:r>
        <w:rPr>
          <w:rFonts w:cs="Arial"/>
          <w:sz w:val="16"/>
          <w:szCs w:val="16"/>
        </w:rPr>
        <w:t xml:space="preserve">] </w:t>
      </w:r>
      <w:r w:rsidR="009A52AF">
        <w:rPr>
          <w:rFonts w:cs="Arial"/>
          <w:sz w:val="16"/>
          <w:szCs w:val="16"/>
        </w:rPr>
        <w:t xml:space="preserve">Koner J S, </w:t>
      </w:r>
      <w:r w:rsidR="00F618A6">
        <w:rPr>
          <w:rFonts w:cs="Arial"/>
          <w:sz w:val="16"/>
          <w:szCs w:val="16"/>
        </w:rPr>
        <w:t>Wyatt D A, Lungare S, Jones R J, Mohammed A R: Extending the Capability of High Dose DPI Formulation Using a New Blending Technology</w:t>
      </w:r>
      <w:r w:rsidR="00550796">
        <w:rPr>
          <w:rFonts w:cs="Arial"/>
          <w:sz w:val="16"/>
          <w:szCs w:val="16"/>
        </w:rPr>
        <w:t>; DDL 2019</w:t>
      </w:r>
    </w:p>
    <w:sectPr w:rsidR="00AF5D2D" w:rsidRPr="00A057BC" w:rsidSect="00660395">
      <w:headerReference w:type="even" r:id="rId14"/>
      <w:headerReference w:type="default" r:id="rId15"/>
      <w:footerReference w:type="even" r:id="rId16"/>
      <w:footerReference w:type="default" r:id="rId17"/>
      <w:endnotePr>
        <w:numFmt w:val="decimal"/>
      </w:endnotePr>
      <w:pgSz w:w="11907" w:h="16839" w:code="9"/>
      <w:pgMar w:top="1304" w:right="1304" w:bottom="993" w:left="1531" w:header="720" w:footer="720" w:gutter="0"/>
      <w:cols w:space="720"/>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33B550" w14:textId="77777777" w:rsidR="00A8219E" w:rsidRDefault="00A8219E" w:rsidP="00A515A9">
      <w:pPr>
        <w:spacing w:after="0"/>
      </w:pPr>
      <w:r>
        <w:separator/>
      </w:r>
    </w:p>
  </w:endnote>
  <w:endnote w:type="continuationSeparator" w:id="0">
    <w:p w14:paraId="0F3EF596" w14:textId="77777777" w:rsidR="00A8219E" w:rsidRDefault="00A8219E" w:rsidP="00A515A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20"/>
      <w:gridCol w:w="3020"/>
      <w:gridCol w:w="3020"/>
    </w:tblGrid>
    <w:tr w:rsidR="5DD8D7BB" w14:paraId="6B7D48B7" w14:textId="77777777" w:rsidTr="5DD8D7BB">
      <w:trPr>
        <w:trHeight w:val="300"/>
      </w:trPr>
      <w:tc>
        <w:tcPr>
          <w:tcW w:w="3020" w:type="dxa"/>
        </w:tcPr>
        <w:p w14:paraId="0CEC366C" w14:textId="52C0216A" w:rsidR="5DD8D7BB" w:rsidRDefault="5DD8D7BB" w:rsidP="5DD8D7BB">
          <w:pPr>
            <w:pStyle w:val="Header"/>
            <w:ind w:left="-115"/>
            <w:jc w:val="left"/>
          </w:pPr>
        </w:p>
      </w:tc>
      <w:tc>
        <w:tcPr>
          <w:tcW w:w="3020" w:type="dxa"/>
        </w:tcPr>
        <w:p w14:paraId="4EED22B5" w14:textId="221E3855" w:rsidR="5DD8D7BB" w:rsidRDefault="5DD8D7BB" w:rsidP="5DD8D7BB">
          <w:pPr>
            <w:pStyle w:val="Header"/>
            <w:jc w:val="center"/>
          </w:pPr>
        </w:p>
      </w:tc>
      <w:tc>
        <w:tcPr>
          <w:tcW w:w="3020" w:type="dxa"/>
        </w:tcPr>
        <w:p w14:paraId="78E71AF7" w14:textId="797BC641" w:rsidR="5DD8D7BB" w:rsidRDefault="5DD8D7BB" w:rsidP="5DD8D7BB">
          <w:pPr>
            <w:pStyle w:val="Header"/>
            <w:ind w:right="-115"/>
            <w:jc w:val="right"/>
          </w:pPr>
        </w:p>
      </w:tc>
    </w:tr>
  </w:tbl>
  <w:p w14:paraId="05756595" w14:textId="1BBA5052" w:rsidR="5DD8D7BB" w:rsidRDefault="5DD8D7BB" w:rsidP="5DD8D7B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20"/>
      <w:gridCol w:w="3020"/>
      <w:gridCol w:w="3020"/>
    </w:tblGrid>
    <w:tr w:rsidR="5DD8D7BB" w14:paraId="374674EE" w14:textId="77777777" w:rsidTr="5DD8D7BB">
      <w:trPr>
        <w:trHeight w:val="300"/>
      </w:trPr>
      <w:tc>
        <w:tcPr>
          <w:tcW w:w="3020" w:type="dxa"/>
        </w:tcPr>
        <w:p w14:paraId="72B0573F" w14:textId="1E5817B8" w:rsidR="5DD8D7BB" w:rsidRDefault="5DD8D7BB" w:rsidP="5DD8D7BB">
          <w:pPr>
            <w:pStyle w:val="Header"/>
            <w:ind w:left="-115"/>
            <w:jc w:val="left"/>
          </w:pPr>
        </w:p>
      </w:tc>
      <w:tc>
        <w:tcPr>
          <w:tcW w:w="3020" w:type="dxa"/>
        </w:tcPr>
        <w:p w14:paraId="2F435E07" w14:textId="7B699D0A" w:rsidR="5DD8D7BB" w:rsidRDefault="5DD8D7BB" w:rsidP="5DD8D7BB">
          <w:pPr>
            <w:pStyle w:val="Header"/>
            <w:jc w:val="center"/>
          </w:pPr>
        </w:p>
      </w:tc>
      <w:tc>
        <w:tcPr>
          <w:tcW w:w="3020" w:type="dxa"/>
        </w:tcPr>
        <w:p w14:paraId="438D8B89" w14:textId="3ADC9F0C" w:rsidR="5DD8D7BB" w:rsidRDefault="5DD8D7BB" w:rsidP="5DD8D7BB">
          <w:pPr>
            <w:pStyle w:val="Header"/>
            <w:ind w:right="-115"/>
            <w:jc w:val="right"/>
          </w:pPr>
        </w:p>
      </w:tc>
    </w:tr>
  </w:tbl>
  <w:p w14:paraId="2DCC3A36" w14:textId="44C219CA" w:rsidR="5DD8D7BB" w:rsidRDefault="5DD8D7BB" w:rsidP="5DD8D7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43F6E8" w14:textId="77777777" w:rsidR="00A8219E" w:rsidRDefault="00A8219E" w:rsidP="00A515A9">
      <w:pPr>
        <w:spacing w:after="0"/>
      </w:pPr>
      <w:r>
        <w:separator/>
      </w:r>
    </w:p>
  </w:footnote>
  <w:footnote w:type="continuationSeparator" w:id="0">
    <w:p w14:paraId="13DA0B45" w14:textId="77777777" w:rsidR="00A8219E" w:rsidRDefault="00A8219E" w:rsidP="00A515A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CC107" w14:textId="3ED50D15" w:rsidR="00C126B9" w:rsidRPr="003C58EE" w:rsidRDefault="009A52B9" w:rsidP="00964A86">
    <w:pPr>
      <w:pStyle w:val="Header"/>
      <w:pBdr>
        <w:bottom w:val="single" w:sz="6" w:space="1" w:color="auto"/>
      </w:pBdr>
      <w:jc w:val="left"/>
      <w:rPr>
        <w:i/>
      </w:rPr>
    </w:pPr>
    <w:r w:rsidRPr="003C58EE">
      <w:rPr>
        <w:i/>
      </w:rPr>
      <w:t>Drug Delivery to the Lungs</w:t>
    </w:r>
    <w:r w:rsidR="008C5C57" w:rsidRPr="003C58EE">
      <w:rPr>
        <w:i/>
      </w:rPr>
      <w:t>, Volume 3</w:t>
    </w:r>
    <w:r w:rsidR="00A43203">
      <w:rPr>
        <w:i/>
      </w:rPr>
      <w:t>4</w:t>
    </w:r>
    <w:r w:rsidR="008C5C57" w:rsidRPr="003C58EE">
      <w:rPr>
        <w:i/>
      </w:rPr>
      <w:t>,</w:t>
    </w:r>
    <w:r w:rsidR="00964A86" w:rsidRPr="003C58EE">
      <w:rPr>
        <w:i/>
      </w:rPr>
      <w:t xml:space="preserve"> 20</w:t>
    </w:r>
    <w:r w:rsidR="00F27E20" w:rsidRPr="003C58EE">
      <w:rPr>
        <w:i/>
      </w:rPr>
      <w:t>2</w:t>
    </w:r>
    <w:r w:rsidR="00A43203">
      <w:rPr>
        <w:i/>
      </w:rPr>
      <w:t>3</w:t>
    </w:r>
    <w:r w:rsidR="00964A86" w:rsidRPr="003C58EE">
      <w:rPr>
        <w:i/>
      </w:rPr>
      <w:t xml:space="preserve"> </w:t>
    </w:r>
    <w:r w:rsidRPr="003C58EE">
      <w:rPr>
        <w:i/>
      </w:rPr>
      <w:t xml:space="preserve">- </w:t>
    </w:r>
    <w:r w:rsidR="00990C1E" w:rsidRPr="003C58EE">
      <w:rPr>
        <w:i/>
      </w:rPr>
      <w:fldChar w:fldCharType="begin"/>
    </w:r>
    <w:r w:rsidR="00990C1E" w:rsidRPr="003C58EE">
      <w:rPr>
        <w:i/>
      </w:rPr>
      <w:instrText xml:space="preserve"> REF Title \h  \* MERGEFORMAT </w:instrText>
    </w:r>
    <w:r w:rsidR="00990C1E" w:rsidRPr="003C58EE">
      <w:rPr>
        <w:i/>
      </w:rPr>
    </w:r>
    <w:r w:rsidR="00990C1E" w:rsidRPr="003C58EE">
      <w:rPr>
        <w:i/>
      </w:rPr>
      <w:fldChar w:fldCharType="separate"/>
    </w:r>
    <w:sdt>
      <w:sdtPr>
        <w:rPr>
          <w:i/>
        </w:rPr>
        <w:alias w:val="Title"/>
        <w:tag w:val="Title"/>
        <w:id w:val="-1787965196"/>
        <w:lock w:val="sdtLocked"/>
        <w:placeholder>
          <w:docPart w:val="62CECCE9AC334C7DB9ECD1CE39E4D837"/>
        </w:placeholder>
      </w:sdtPr>
      <w:sdtEndPr>
        <w:rPr>
          <w:iCs/>
        </w:rPr>
      </w:sdtEndPr>
      <w:sdtContent>
        <w:sdt>
          <w:sdtPr>
            <w:rPr>
              <w:i/>
              <w:iCs/>
            </w:rPr>
            <w:alias w:val="Title"/>
            <w:tag w:val="Title"/>
            <w:id w:val="1058048912"/>
            <w:placeholder>
              <w:docPart w:val="170502C769824929B94E43CE1B3BB320"/>
            </w:placeholder>
          </w:sdtPr>
          <w:sdtEndPr/>
          <w:sdtContent>
            <w:r w:rsidR="00AE6835" w:rsidRPr="006B77BD">
              <w:rPr>
                <w:i/>
                <w:iCs/>
              </w:rPr>
              <w:t>Investigating the Dispersion Capability of High Dose DPI Formulations Manufactured Through Isothermal Dry Particle Coating (</w:t>
            </w:r>
            <w:proofErr w:type="spellStart"/>
            <w:r w:rsidR="00AE6835" w:rsidRPr="006B77BD">
              <w:rPr>
                <w:i/>
                <w:iCs/>
              </w:rPr>
              <w:t>iDPC</w:t>
            </w:r>
            <w:proofErr w:type="spellEnd"/>
            <w:r w:rsidR="00AE6835" w:rsidRPr="006B77BD">
              <w:rPr>
                <w:rFonts w:cs="Arial"/>
                <w:i/>
                <w:iCs/>
              </w:rPr>
              <w:t>™</w:t>
            </w:r>
            <w:r w:rsidR="00AE6835" w:rsidRPr="006B77BD">
              <w:rPr>
                <w:i/>
                <w:iCs/>
              </w:rPr>
              <w:t>)</w:t>
            </w:r>
          </w:sdtContent>
        </w:sdt>
      </w:sdtContent>
    </w:sdt>
    <w:r w:rsidR="00990C1E" w:rsidRPr="003C58EE">
      <w:rPr>
        <w:i/>
      </w:rPr>
      <w:fldChar w:fldCharType="end"/>
    </w:r>
    <w:r w:rsidR="003C58EE">
      <w:rPr>
        <w:i/>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CC108" w14:textId="3B238261" w:rsidR="00964A86" w:rsidRPr="00964A86" w:rsidRDefault="002E77AE" w:rsidP="00964A86">
    <w:pPr>
      <w:pStyle w:val="Header"/>
      <w:pBdr>
        <w:bottom w:val="single" w:sz="6" w:space="1" w:color="auto"/>
      </w:pBdr>
      <w:rPr>
        <w:i/>
      </w:rPr>
    </w:pPr>
    <w:r>
      <w:rPr>
        <w:i/>
      </w:rPr>
      <w:t>Drug Delivery to the Lungs</w:t>
    </w:r>
    <w:r w:rsidR="00DE53F7">
      <w:rPr>
        <w:i/>
      </w:rPr>
      <w:t>, Volume 3</w:t>
    </w:r>
    <w:r w:rsidR="00662768">
      <w:rPr>
        <w:i/>
      </w:rPr>
      <w:t>4</w:t>
    </w:r>
    <w:r w:rsidR="00964A86" w:rsidRPr="00964A86">
      <w:rPr>
        <w:i/>
      </w:rPr>
      <w:t>, 20</w:t>
    </w:r>
    <w:r w:rsidR="00F27E20">
      <w:rPr>
        <w:i/>
      </w:rPr>
      <w:t>2</w:t>
    </w:r>
    <w:r w:rsidR="00662768">
      <w:rPr>
        <w:i/>
      </w:rPr>
      <w:t>3</w:t>
    </w:r>
    <w:r w:rsidR="00964A86" w:rsidRPr="00964A86">
      <w:rPr>
        <w:i/>
      </w:rPr>
      <w:t xml:space="preserve"> - </w:t>
    </w:r>
    <w:r w:rsidR="00990C1E" w:rsidRPr="00BD7DE3">
      <w:rPr>
        <w:i/>
      </w:rPr>
      <w:fldChar w:fldCharType="begin"/>
    </w:r>
    <w:r w:rsidR="00990C1E" w:rsidRPr="00BD7DE3">
      <w:rPr>
        <w:i/>
      </w:rPr>
      <w:instrText xml:space="preserve"> REF Author \h  \* MERGEFORMAT </w:instrText>
    </w:r>
    <w:r w:rsidR="00990C1E" w:rsidRPr="00BD7DE3">
      <w:rPr>
        <w:i/>
      </w:rPr>
    </w:r>
    <w:r w:rsidR="00990C1E" w:rsidRPr="00BD7DE3">
      <w:rPr>
        <w:i/>
      </w:rPr>
      <w:fldChar w:fldCharType="separate"/>
    </w:r>
    <w:sdt>
      <w:sdtPr>
        <w:rPr>
          <w:i/>
        </w:rPr>
        <w:alias w:val="Main Author"/>
        <w:tag w:val="Main Author"/>
        <w:id w:val="854082182"/>
        <w:lock w:val="sdtLocked"/>
        <w:placeholder>
          <w:docPart w:val="6B5B7D3224EB4DFA8A6F27FA5E213F02"/>
        </w:placeholder>
      </w:sdtPr>
      <w:sdtEndPr>
        <w:rPr>
          <w:rStyle w:val="PlaceholderText"/>
          <w:color w:val="808080"/>
        </w:rPr>
      </w:sdtEndPr>
      <w:sdtContent>
        <w:r w:rsidR="00193AF4" w:rsidRPr="00193AF4">
          <w:rPr>
            <w:rStyle w:val="PlaceholderText"/>
            <w:i/>
            <w:color w:val="auto"/>
          </w:rPr>
          <w:t>Jones</w:t>
        </w:r>
      </w:sdtContent>
    </w:sdt>
    <w:r w:rsidR="00990C1E" w:rsidRPr="00BD7DE3">
      <w:rPr>
        <w:i/>
      </w:rPr>
      <w:fldChar w:fldCharType="end"/>
    </w:r>
    <w:r w:rsidR="00964A86" w:rsidRPr="00BD7DE3">
      <w:rPr>
        <w:i/>
      </w:rPr>
      <w:t xml:space="preserve"> et 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A48BE"/>
    <w:multiLevelType w:val="singleLevel"/>
    <w:tmpl w:val="E01298FA"/>
    <w:lvl w:ilvl="0">
      <w:start w:val="4"/>
      <w:numFmt w:val="decimal"/>
      <w:lvlText w:val="%1."/>
      <w:lvlJc w:val="left"/>
      <w:pPr>
        <w:tabs>
          <w:tab w:val="num" w:pos="720"/>
        </w:tabs>
        <w:ind w:left="720" w:hanging="720"/>
      </w:pPr>
      <w:rPr>
        <w:rFonts w:hint="default"/>
      </w:rPr>
    </w:lvl>
  </w:abstractNum>
  <w:abstractNum w:abstractNumId="1" w15:restartNumberingAfterBreak="0">
    <w:nsid w:val="4D2838E3"/>
    <w:multiLevelType w:val="hybridMultilevel"/>
    <w:tmpl w:val="273A5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9117410"/>
    <w:multiLevelType w:val="hybridMultilevel"/>
    <w:tmpl w:val="3098AA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49C5B5C"/>
    <w:multiLevelType w:val="hybridMultilevel"/>
    <w:tmpl w:val="F4D2D526"/>
    <w:lvl w:ilvl="0" w:tplc="D310CAD2">
      <w:start w:val="1"/>
      <w:numFmt w:val="bullet"/>
      <w:pStyle w:val="DDL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A387F93"/>
    <w:multiLevelType w:val="singleLevel"/>
    <w:tmpl w:val="153E676C"/>
    <w:lvl w:ilvl="0">
      <w:start w:val="1"/>
      <w:numFmt w:val="decimal"/>
      <w:lvlText w:val="%1."/>
      <w:lvlJc w:val="left"/>
      <w:pPr>
        <w:tabs>
          <w:tab w:val="num" w:pos="720"/>
        </w:tabs>
        <w:ind w:left="720" w:hanging="720"/>
      </w:pPr>
      <w:rPr>
        <w:rFonts w:hint="default"/>
      </w:rPr>
    </w:lvl>
  </w:abstractNum>
  <w:num w:numId="1" w16cid:durableId="1426538676">
    <w:abstractNumId w:val="4"/>
  </w:num>
  <w:num w:numId="2" w16cid:durableId="1276408250">
    <w:abstractNumId w:val="0"/>
  </w:num>
  <w:num w:numId="3" w16cid:durableId="481041053">
    <w:abstractNumId w:val="2"/>
  </w:num>
  <w:num w:numId="4" w16cid:durableId="321931681">
    <w:abstractNumId w:val="3"/>
  </w:num>
  <w:num w:numId="5" w16cid:durableId="17651793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77D5"/>
    <w:rsid w:val="000064C8"/>
    <w:rsid w:val="0000715D"/>
    <w:rsid w:val="000118B8"/>
    <w:rsid w:val="00012451"/>
    <w:rsid w:val="00013E13"/>
    <w:rsid w:val="000144B6"/>
    <w:rsid w:val="0001616D"/>
    <w:rsid w:val="00016641"/>
    <w:rsid w:val="0002064E"/>
    <w:rsid w:val="0002182F"/>
    <w:rsid w:val="00022BBE"/>
    <w:rsid w:val="00025300"/>
    <w:rsid w:val="00032260"/>
    <w:rsid w:val="000358CE"/>
    <w:rsid w:val="000412C6"/>
    <w:rsid w:val="00042D62"/>
    <w:rsid w:val="00046604"/>
    <w:rsid w:val="00046F78"/>
    <w:rsid w:val="000470D1"/>
    <w:rsid w:val="000476CC"/>
    <w:rsid w:val="0005171E"/>
    <w:rsid w:val="000533A7"/>
    <w:rsid w:val="00054372"/>
    <w:rsid w:val="00062B6D"/>
    <w:rsid w:val="0006467A"/>
    <w:rsid w:val="00064BDF"/>
    <w:rsid w:val="00070870"/>
    <w:rsid w:val="00082832"/>
    <w:rsid w:val="000839B0"/>
    <w:rsid w:val="00090651"/>
    <w:rsid w:val="00095461"/>
    <w:rsid w:val="000A1DA4"/>
    <w:rsid w:val="000A2590"/>
    <w:rsid w:val="000A35B4"/>
    <w:rsid w:val="000A5586"/>
    <w:rsid w:val="000C0243"/>
    <w:rsid w:val="000C24CD"/>
    <w:rsid w:val="000C3BE5"/>
    <w:rsid w:val="000C3E46"/>
    <w:rsid w:val="000C756B"/>
    <w:rsid w:val="000D12A9"/>
    <w:rsid w:val="000E3FE7"/>
    <w:rsid w:val="000E77D5"/>
    <w:rsid w:val="000F0F96"/>
    <w:rsid w:val="000F1C66"/>
    <w:rsid w:val="000F34BC"/>
    <w:rsid w:val="000F3A57"/>
    <w:rsid w:val="000F3DE6"/>
    <w:rsid w:val="000F65CD"/>
    <w:rsid w:val="00100F8A"/>
    <w:rsid w:val="001048F4"/>
    <w:rsid w:val="0011595D"/>
    <w:rsid w:val="0012095D"/>
    <w:rsid w:val="0012224E"/>
    <w:rsid w:val="0012331A"/>
    <w:rsid w:val="00132CE3"/>
    <w:rsid w:val="00134FB6"/>
    <w:rsid w:val="00136B27"/>
    <w:rsid w:val="001516A0"/>
    <w:rsid w:val="00152FA5"/>
    <w:rsid w:val="001571E8"/>
    <w:rsid w:val="00160344"/>
    <w:rsid w:val="001604DB"/>
    <w:rsid w:val="0016076E"/>
    <w:rsid w:val="00161EB6"/>
    <w:rsid w:val="00163AB4"/>
    <w:rsid w:val="001650B5"/>
    <w:rsid w:val="001712AB"/>
    <w:rsid w:val="001730A1"/>
    <w:rsid w:val="00174D2A"/>
    <w:rsid w:val="0017671F"/>
    <w:rsid w:val="0018217C"/>
    <w:rsid w:val="001823B0"/>
    <w:rsid w:val="00185DF0"/>
    <w:rsid w:val="001902D1"/>
    <w:rsid w:val="001919A4"/>
    <w:rsid w:val="00193AF4"/>
    <w:rsid w:val="001942DB"/>
    <w:rsid w:val="001A059D"/>
    <w:rsid w:val="001A37BC"/>
    <w:rsid w:val="001A3A9D"/>
    <w:rsid w:val="001B0E1B"/>
    <w:rsid w:val="001B45C9"/>
    <w:rsid w:val="001C1A34"/>
    <w:rsid w:val="001D3077"/>
    <w:rsid w:val="001D7180"/>
    <w:rsid w:val="001E4189"/>
    <w:rsid w:val="001E7C9A"/>
    <w:rsid w:val="001F086C"/>
    <w:rsid w:val="001F70F6"/>
    <w:rsid w:val="001F79B3"/>
    <w:rsid w:val="00203AF2"/>
    <w:rsid w:val="002040BE"/>
    <w:rsid w:val="00206FCD"/>
    <w:rsid w:val="00214175"/>
    <w:rsid w:val="00214379"/>
    <w:rsid w:val="00217845"/>
    <w:rsid w:val="00222C1A"/>
    <w:rsid w:val="00230753"/>
    <w:rsid w:val="00231C18"/>
    <w:rsid w:val="00246D8A"/>
    <w:rsid w:val="002514A5"/>
    <w:rsid w:val="0025152D"/>
    <w:rsid w:val="00254189"/>
    <w:rsid w:val="0026131B"/>
    <w:rsid w:val="002663D3"/>
    <w:rsid w:val="002666D8"/>
    <w:rsid w:val="00266B43"/>
    <w:rsid w:val="00266F6A"/>
    <w:rsid w:val="00274249"/>
    <w:rsid w:val="00275615"/>
    <w:rsid w:val="00283F05"/>
    <w:rsid w:val="00287EA3"/>
    <w:rsid w:val="0029067A"/>
    <w:rsid w:val="002A3E34"/>
    <w:rsid w:val="002A4072"/>
    <w:rsid w:val="002A4B17"/>
    <w:rsid w:val="002B189F"/>
    <w:rsid w:val="002B29C0"/>
    <w:rsid w:val="002B40B3"/>
    <w:rsid w:val="002B441A"/>
    <w:rsid w:val="002B450B"/>
    <w:rsid w:val="002B74ED"/>
    <w:rsid w:val="002C026A"/>
    <w:rsid w:val="002D01C1"/>
    <w:rsid w:val="002D0420"/>
    <w:rsid w:val="002D5EEC"/>
    <w:rsid w:val="002E77AE"/>
    <w:rsid w:val="002F18E5"/>
    <w:rsid w:val="002F2050"/>
    <w:rsid w:val="002F311A"/>
    <w:rsid w:val="002F38E3"/>
    <w:rsid w:val="002F4B53"/>
    <w:rsid w:val="002F50E9"/>
    <w:rsid w:val="002F7BAD"/>
    <w:rsid w:val="003010C2"/>
    <w:rsid w:val="00304E43"/>
    <w:rsid w:val="00305DA4"/>
    <w:rsid w:val="00310203"/>
    <w:rsid w:val="0031051B"/>
    <w:rsid w:val="00311E4A"/>
    <w:rsid w:val="00315160"/>
    <w:rsid w:val="0031528C"/>
    <w:rsid w:val="00322CE6"/>
    <w:rsid w:val="00323FE7"/>
    <w:rsid w:val="0033185B"/>
    <w:rsid w:val="0033327C"/>
    <w:rsid w:val="003420DE"/>
    <w:rsid w:val="003435A9"/>
    <w:rsid w:val="003448AD"/>
    <w:rsid w:val="0034725F"/>
    <w:rsid w:val="00347668"/>
    <w:rsid w:val="00351342"/>
    <w:rsid w:val="00351F4E"/>
    <w:rsid w:val="003570F9"/>
    <w:rsid w:val="0037435B"/>
    <w:rsid w:val="0037464B"/>
    <w:rsid w:val="00381829"/>
    <w:rsid w:val="00385619"/>
    <w:rsid w:val="00387ECA"/>
    <w:rsid w:val="003903CD"/>
    <w:rsid w:val="0039248E"/>
    <w:rsid w:val="00395FEB"/>
    <w:rsid w:val="00397214"/>
    <w:rsid w:val="003B1031"/>
    <w:rsid w:val="003B383B"/>
    <w:rsid w:val="003B482E"/>
    <w:rsid w:val="003B65D1"/>
    <w:rsid w:val="003C195F"/>
    <w:rsid w:val="003C568E"/>
    <w:rsid w:val="003C58EE"/>
    <w:rsid w:val="003C5E4B"/>
    <w:rsid w:val="003C692C"/>
    <w:rsid w:val="003C6A3B"/>
    <w:rsid w:val="003D0000"/>
    <w:rsid w:val="003D10FC"/>
    <w:rsid w:val="003D2269"/>
    <w:rsid w:val="003D2AD9"/>
    <w:rsid w:val="003D3DDE"/>
    <w:rsid w:val="003D7C47"/>
    <w:rsid w:val="003E2006"/>
    <w:rsid w:val="003E20B7"/>
    <w:rsid w:val="003E2420"/>
    <w:rsid w:val="003E5D10"/>
    <w:rsid w:val="003F057A"/>
    <w:rsid w:val="003F37A9"/>
    <w:rsid w:val="00403283"/>
    <w:rsid w:val="00403911"/>
    <w:rsid w:val="00404A4E"/>
    <w:rsid w:val="00407BAC"/>
    <w:rsid w:val="0041018A"/>
    <w:rsid w:val="004136D0"/>
    <w:rsid w:val="00414337"/>
    <w:rsid w:val="00424C98"/>
    <w:rsid w:val="00427F09"/>
    <w:rsid w:val="0043386B"/>
    <w:rsid w:val="00437055"/>
    <w:rsid w:val="00442036"/>
    <w:rsid w:val="004444B3"/>
    <w:rsid w:val="0044455D"/>
    <w:rsid w:val="00444A63"/>
    <w:rsid w:val="00444B9D"/>
    <w:rsid w:val="00444FDB"/>
    <w:rsid w:val="00445A11"/>
    <w:rsid w:val="00447700"/>
    <w:rsid w:val="00456BCB"/>
    <w:rsid w:val="00467170"/>
    <w:rsid w:val="00472C63"/>
    <w:rsid w:val="00473C43"/>
    <w:rsid w:val="00474875"/>
    <w:rsid w:val="004757E8"/>
    <w:rsid w:val="00476CC4"/>
    <w:rsid w:val="00485694"/>
    <w:rsid w:val="00486D9C"/>
    <w:rsid w:val="00490C5A"/>
    <w:rsid w:val="00496006"/>
    <w:rsid w:val="004A3AEA"/>
    <w:rsid w:val="004A684A"/>
    <w:rsid w:val="004B017E"/>
    <w:rsid w:val="004B2051"/>
    <w:rsid w:val="004B6D88"/>
    <w:rsid w:val="004B7980"/>
    <w:rsid w:val="004C1847"/>
    <w:rsid w:val="004C2EB1"/>
    <w:rsid w:val="004D4A4D"/>
    <w:rsid w:val="004D6DE3"/>
    <w:rsid w:val="004F7E1D"/>
    <w:rsid w:val="004F7F64"/>
    <w:rsid w:val="005008DE"/>
    <w:rsid w:val="0050110B"/>
    <w:rsid w:val="00501D38"/>
    <w:rsid w:val="0050545C"/>
    <w:rsid w:val="005057F2"/>
    <w:rsid w:val="005136AA"/>
    <w:rsid w:val="00523311"/>
    <w:rsid w:val="00523DC0"/>
    <w:rsid w:val="0052467E"/>
    <w:rsid w:val="005302DC"/>
    <w:rsid w:val="005303CA"/>
    <w:rsid w:val="00532768"/>
    <w:rsid w:val="00533892"/>
    <w:rsid w:val="00533A2A"/>
    <w:rsid w:val="005357DB"/>
    <w:rsid w:val="005375CD"/>
    <w:rsid w:val="00541140"/>
    <w:rsid w:val="00541F41"/>
    <w:rsid w:val="00544864"/>
    <w:rsid w:val="00544FB7"/>
    <w:rsid w:val="00546DCF"/>
    <w:rsid w:val="00550796"/>
    <w:rsid w:val="005563EB"/>
    <w:rsid w:val="0056071B"/>
    <w:rsid w:val="00565D5A"/>
    <w:rsid w:val="005662FD"/>
    <w:rsid w:val="0057501C"/>
    <w:rsid w:val="00582113"/>
    <w:rsid w:val="005846C2"/>
    <w:rsid w:val="005870DA"/>
    <w:rsid w:val="00591DC8"/>
    <w:rsid w:val="00593A46"/>
    <w:rsid w:val="00594BD3"/>
    <w:rsid w:val="005964BD"/>
    <w:rsid w:val="00596663"/>
    <w:rsid w:val="005A3031"/>
    <w:rsid w:val="005A3E90"/>
    <w:rsid w:val="005A5E9A"/>
    <w:rsid w:val="005B5FD9"/>
    <w:rsid w:val="005B7287"/>
    <w:rsid w:val="005C47E5"/>
    <w:rsid w:val="005C50FF"/>
    <w:rsid w:val="005C5E91"/>
    <w:rsid w:val="005C6C1B"/>
    <w:rsid w:val="005D1383"/>
    <w:rsid w:val="005D2D8C"/>
    <w:rsid w:val="005D441D"/>
    <w:rsid w:val="005E33B3"/>
    <w:rsid w:val="005E4228"/>
    <w:rsid w:val="005E780B"/>
    <w:rsid w:val="005F3EE0"/>
    <w:rsid w:val="005F4472"/>
    <w:rsid w:val="00600D75"/>
    <w:rsid w:val="006047B7"/>
    <w:rsid w:val="00610A38"/>
    <w:rsid w:val="00613573"/>
    <w:rsid w:val="006161D8"/>
    <w:rsid w:val="00621541"/>
    <w:rsid w:val="006220F6"/>
    <w:rsid w:val="00623571"/>
    <w:rsid w:val="00623DF2"/>
    <w:rsid w:val="00624E08"/>
    <w:rsid w:val="00626803"/>
    <w:rsid w:val="00631B86"/>
    <w:rsid w:val="006324C7"/>
    <w:rsid w:val="006369EA"/>
    <w:rsid w:val="006379BC"/>
    <w:rsid w:val="00637BA4"/>
    <w:rsid w:val="00637E49"/>
    <w:rsid w:val="00642787"/>
    <w:rsid w:val="00643ABD"/>
    <w:rsid w:val="006458EC"/>
    <w:rsid w:val="0064624A"/>
    <w:rsid w:val="0065191E"/>
    <w:rsid w:val="0065250D"/>
    <w:rsid w:val="00657E1C"/>
    <w:rsid w:val="00660395"/>
    <w:rsid w:val="00662042"/>
    <w:rsid w:val="00662768"/>
    <w:rsid w:val="00665D82"/>
    <w:rsid w:val="00667E81"/>
    <w:rsid w:val="00671088"/>
    <w:rsid w:val="00676DA7"/>
    <w:rsid w:val="0067741A"/>
    <w:rsid w:val="00677708"/>
    <w:rsid w:val="00686D0B"/>
    <w:rsid w:val="00691079"/>
    <w:rsid w:val="00693CFB"/>
    <w:rsid w:val="006956FE"/>
    <w:rsid w:val="00697AE7"/>
    <w:rsid w:val="006A14BB"/>
    <w:rsid w:val="006A7D26"/>
    <w:rsid w:val="006B0F99"/>
    <w:rsid w:val="006B12B5"/>
    <w:rsid w:val="006B3D22"/>
    <w:rsid w:val="006B77BD"/>
    <w:rsid w:val="006D1239"/>
    <w:rsid w:val="006D6212"/>
    <w:rsid w:val="006E0732"/>
    <w:rsid w:val="006E0BD6"/>
    <w:rsid w:val="006E1C6F"/>
    <w:rsid w:val="006E2942"/>
    <w:rsid w:val="006E4555"/>
    <w:rsid w:val="006E61C2"/>
    <w:rsid w:val="006F0288"/>
    <w:rsid w:val="006F34CF"/>
    <w:rsid w:val="006F6CE6"/>
    <w:rsid w:val="006F767B"/>
    <w:rsid w:val="00701986"/>
    <w:rsid w:val="00703D0F"/>
    <w:rsid w:val="0070763C"/>
    <w:rsid w:val="007104A4"/>
    <w:rsid w:val="00711C1F"/>
    <w:rsid w:val="00715F4B"/>
    <w:rsid w:val="007204EC"/>
    <w:rsid w:val="00726AB9"/>
    <w:rsid w:val="00727FF4"/>
    <w:rsid w:val="00730308"/>
    <w:rsid w:val="00735574"/>
    <w:rsid w:val="007365E1"/>
    <w:rsid w:val="00736974"/>
    <w:rsid w:val="0074144D"/>
    <w:rsid w:val="00745DF9"/>
    <w:rsid w:val="007521AC"/>
    <w:rsid w:val="0075245D"/>
    <w:rsid w:val="007536A5"/>
    <w:rsid w:val="00755412"/>
    <w:rsid w:val="00755594"/>
    <w:rsid w:val="0075720D"/>
    <w:rsid w:val="00765AE1"/>
    <w:rsid w:val="00770332"/>
    <w:rsid w:val="007708EB"/>
    <w:rsid w:val="007735FD"/>
    <w:rsid w:val="0077500C"/>
    <w:rsid w:val="007776B3"/>
    <w:rsid w:val="007811DF"/>
    <w:rsid w:val="00781E78"/>
    <w:rsid w:val="0078212D"/>
    <w:rsid w:val="00784010"/>
    <w:rsid w:val="00787F68"/>
    <w:rsid w:val="0079094A"/>
    <w:rsid w:val="0079672E"/>
    <w:rsid w:val="007A11C3"/>
    <w:rsid w:val="007A3768"/>
    <w:rsid w:val="007B2BEC"/>
    <w:rsid w:val="007B7317"/>
    <w:rsid w:val="007C1C62"/>
    <w:rsid w:val="007C278F"/>
    <w:rsid w:val="007C694B"/>
    <w:rsid w:val="007D059F"/>
    <w:rsid w:val="007D307A"/>
    <w:rsid w:val="007D3298"/>
    <w:rsid w:val="007D5F86"/>
    <w:rsid w:val="007E2F09"/>
    <w:rsid w:val="007E342E"/>
    <w:rsid w:val="007E4351"/>
    <w:rsid w:val="007E5B21"/>
    <w:rsid w:val="007F0CAA"/>
    <w:rsid w:val="007F0D1E"/>
    <w:rsid w:val="007F2A0F"/>
    <w:rsid w:val="00803181"/>
    <w:rsid w:val="00804EEB"/>
    <w:rsid w:val="008050EA"/>
    <w:rsid w:val="00816EAF"/>
    <w:rsid w:val="00821119"/>
    <w:rsid w:val="00821655"/>
    <w:rsid w:val="00823480"/>
    <w:rsid w:val="00823560"/>
    <w:rsid w:val="00827159"/>
    <w:rsid w:val="008329FE"/>
    <w:rsid w:val="00836B77"/>
    <w:rsid w:val="00837ED2"/>
    <w:rsid w:val="008443EE"/>
    <w:rsid w:val="0084598F"/>
    <w:rsid w:val="00846063"/>
    <w:rsid w:val="008460AD"/>
    <w:rsid w:val="00852676"/>
    <w:rsid w:val="008532F8"/>
    <w:rsid w:val="008557C1"/>
    <w:rsid w:val="00855CFF"/>
    <w:rsid w:val="00856374"/>
    <w:rsid w:val="00856A05"/>
    <w:rsid w:val="00860916"/>
    <w:rsid w:val="008672B8"/>
    <w:rsid w:val="00870B52"/>
    <w:rsid w:val="00870C38"/>
    <w:rsid w:val="008724FA"/>
    <w:rsid w:val="00873A26"/>
    <w:rsid w:val="008743AF"/>
    <w:rsid w:val="00875B61"/>
    <w:rsid w:val="008804B1"/>
    <w:rsid w:val="00880B2B"/>
    <w:rsid w:val="00881895"/>
    <w:rsid w:val="00884446"/>
    <w:rsid w:val="00887352"/>
    <w:rsid w:val="00887F9D"/>
    <w:rsid w:val="00892D4C"/>
    <w:rsid w:val="00893DD0"/>
    <w:rsid w:val="008A4E97"/>
    <w:rsid w:val="008B02F1"/>
    <w:rsid w:val="008B1668"/>
    <w:rsid w:val="008B19BE"/>
    <w:rsid w:val="008B464D"/>
    <w:rsid w:val="008B4BF0"/>
    <w:rsid w:val="008C164D"/>
    <w:rsid w:val="008C46F5"/>
    <w:rsid w:val="008C5C57"/>
    <w:rsid w:val="008C7F2D"/>
    <w:rsid w:val="008D115B"/>
    <w:rsid w:val="008D3116"/>
    <w:rsid w:val="008D4D8B"/>
    <w:rsid w:val="008D7F19"/>
    <w:rsid w:val="008E0E7D"/>
    <w:rsid w:val="008E1414"/>
    <w:rsid w:val="008E42B4"/>
    <w:rsid w:val="008E4FCC"/>
    <w:rsid w:val="008E6B73"/>
    <w:rsid w:val="008E6E17"/>
    <w:rsid w:val="008F0A06"/>
    <w:rsid w:val="008F11C1"/>
    <w:rsid w:val="008F2A41"/>
    <w:rsid w:val="008F2E1D"/>
    <w:rsid w:val="00901DB0"/>
    <w:rsid w:val="00903984"/>
    <w:rsid w:val="00913141"/>
    <w:rsid w:val="00922C6A"/>
    <w:rsid w:val="00926AE2"/>
    <w:rsid w:val="009274A1"/>
    <w:rsid w:val="009279BB"/>
    <w:rsid w:val="00930DA1"/>
    <w:rsid w:val="00931B7C"/>
    <w:rsid w:val="0093458B"/>
    <w:rsid w:val="00937916"/>
    <w:rsid w:val="00941946"/>
    <w:rsid w:val="00943B07"/>
    <w:rsid w:val="009465BE"/>
    <w:rsid w:val="00947513"/>
    <w:rsid w:val="0095324F"/>
    <w:rsid w:val="00953F50"/>
    <w:rsid w:val="009550C4"/>
    <w:rsid w:val="0095644E"/>
    <w:rsid w:val="0096021B"/>
    <w:rsid w:val="00960DBC"/>
    <w:rsid w:val="00964A86"/>
    <w:rsid w:val="009664DE"/>
    <w:rsid w:val="00966CD3"/>
    <w:rsid w:val="00967DB4"/>
    <w:rsid w:val="00971BB9"/>
    <w:rsid w:val="0097216F"/>
    <w:rsid w:val="0097443F"/>
    <w:rsid w:val="00974501"/>
    <w:rsid w:val="00974E37"/>
    <w:rsid w:val="009818AC"/>
    <w:rsid w:val="009823DC"/>
    <w:rsid w:val="00983075"/>
    <w:rsid w:val="00985155"/>
    <w:rsid w:val="00986938"/>
    <w:rsid w:val="00990C1E"/>
    <w:rsid w:val="00996628"/>
    <w:rsid w:val="009A0009"/>
    <w:rsid w:val="009A1638"/>
    <w:rsid w:val="009A4453"/>
    <w:rsid w:val="009A47A7"/>
    <w:rsid w:val="009A52AF"/>
    <w:rsid w:val="009A52B9"/>
    <w:rsid w:val="009A5E01"/>
    <w:rsid w:val="009A7918"/>
    <w:rsid w:val="009B6EDE"/>
    <w:rsid w:val="009C3583"/>
    <w:rsid w:val="009C6C08"/>
    <w:rsid w:val="009D0CC3"/>
    <w:rsid w:val="009D0ECB"/>
    <w:rsid w:val="009D101A"/>
    <w:rsid w:val="009D1A31"/>
    <w:rsid w:val="009D1CB7"/>
    <w:rsid w:val="009D5953"/>
    <w:rsid w:val="009D77B3"/>
    <w:rsid w:val="009E1F58"/>
    <w:rsid w:val="009E7542"/>
    <w:rsid w:val="009F2FB2"/>
    <w:rsid w:val="00A0313C"/>
    <w:rsid w:val="00A0358B"/>
    <w:rsid w:val="00A057BC"/>
    <w:rsid w:val="00A12000"/>
    <w:rsid w:val="00A13504"/>
    <w:rsid w:val="00A14F14"/>
    <w:rsid w:val="00A158F1"/>
    <w:rsid w:val="00A16028"/>
    <w:rsid w:val="00A1718E"/>
    <w:rsid w:val="00A17C61"/>
    <w:rsid w:val="00A31E8D"/>
    <w:rsid w:val="00A337BB"/>
    <w:rsid w:val="00A43203"/>
    <w:rsid w:val="00A46DAE"/>
    <w:rsid w:val="00A515A9"/>
    <w:rsid w:val="00A53270"/>
    <w:rsid w:val="00A5363F"/>
    <w:rsid w:val="00A64E12"/>
    <w:rsid w:val="00A67298"/>
    <w:rsid w:val="00A67680"/>
    <w:rsid w:val="00A7060B"/>
    <w:rsid w:val="00A76515"/>
    <w:rsid w:val="00A77F64"/>
    <w:rsid w:val="00A81F78"/>
    <w:rsid w:val="00A8219E"/>
    <w:rsid w:val="00A84CD0"/>
    <w:rsid w:val="00A900A8"/>
    <w:rsid w:val="00A90A57"/>
    <w:rsid w:val="00A90B16"/>
    <w:rsid w:val="00A90F26"/>
    <w:rsid w:val="00A94905"/>
    <w:rsid w:val="00AA1175"/>
    <w:rsid w:val="00AA717E"/>
    <w:rsid w:val="00AA74BE"/>
    <w:rsid w:val="00AB0CAB"/>
    <w:rsid w:val="00AB0D43"/>
    <w:rsid w:val="00AB4A78"/>
    <w:rsid w:val="00AB644E"/>
    <w:rsid w:val="00AB7043"/>
    <w:rsid w:val="00AC04A2"/>
    <w:rsid w:val="00AC79A0"/>
    <w:rsid w:val="00AD115D"/>
    <w:rsid w:val="00AD4E1B"/>
    <w:rsid w:val="00AD6DF8"/>
    <w:rsid w:val="00AE6835"/>
    <w:rsid w:val="00AF39EF"/>
    <w:rsid w:val="00AF4768"/>
    <w:rsid w:val="00AF57F5"/>
    <w:rsid w:val="00AF5D2D"/>
    <w:rsid w:val="00AF7E79"/>
    <w:rsid w:val="00B036DA"/>
    <w:rsid w:val="00B122AD"/>
    <w:rsid w:val="00B14920"/>
    <w:rsid w:val="00B14A90"/>
    <w:rsid w:val="00B24EE3"/>
    <w:rsid w:val="00B25B95"/>
    <w:rsid w:val="00B26A97"/>
    <w:rsid w:val="00B27B9D"/>
    <w:rsid w:val="00B301B6"/>
    <w:rsid w:val="00B412B3"/>
    <w:rsid w:val="00B42403"/>
    <w:rsid w:val="00B42A7F"/>
    <w:rsid w:val="00B500BA"/>
    <w:rsid w:val="00B508C7"/>
    <w:rsid w:val="00B5120E"/>
    <w:rsid w:val="00B545C5"/>
    <w:rsid w:val="00B54843"/>
    <w:rsid w:val="00B55646"/>
    <w:rsid w:val="00B5708A"/>
    <w:rsid w:val="00B60D22"/>
    <w:rsid w:val="00B60DB3"/>
    <w:rsid w:val="00B675EB"/>
    <w:rsid w:val="00B7039E"/>
    <w:rsid w:val="00B719D1"/>
    <w:rsid w:val="00B72951"/>
    <w:rsid w:val="00B7382B"/>
    <w:rsid w:val="00B801DF"/>
    <w:rsid w:val="00B804AB"/>
    <w:rsid w:val="00B82255"/>
    <w:rsid w:val="00B8484C"/>
    <w:rsid w:val="00B86405"/>
    <w:rsid w:val="00B906A5"/>
    <w:rsid w:val="00B90861"/>
    <w:rsid w:val="00B91B5B"/>
    <w:rsid w:val="00B93BA2"/>
    <w:rsid w:val="00B94313"/>
    <w:rsid w:val="00B971B8"/>
    <w:rsid w:val="00BA0577"/>
    <w:rsid w:val="00BA1F24"/>
    <w:rsid w:val="00BA5825"/>
    <w:rsid w:val="00BB136C"/>
    <w:rsid w:val="00BB2738"/>
    <w:rsid w:val="00BB33A4"/>
    <w:rsid w:val="00BB6441"/>
    <w:rsid w:val="00BC0021"/>
    <w:rsid w:val="00BC2EFA"/>
    <w:rsid w:val="00BC30C2"/>
    <w:rsid w:val="00BC3B49"/>
    <w:rsid w:val="00BC4BBD"/>
    <w:rsid w:val="00BC521E"/>
    <w:rsid w:val="00BD68AD"/>
    <w:rsid w:val="00BD68D2"/>
    <w:rsid w:val="00BD70D3"/>
    <w:rsid w:val="00BD7DE3"/>
    <w:rsid w:val="00BE2753"/>
    <w:rsid w:val="00BE6397"/>
    <w:rsid w:val="00BF03DE"/>
    <w:rsid w:val="00BF0C0D"/>
    <w:rsid w:val="00BF7856"/>
    <w:rsid w:val="00C02270"/>
    <w:rsid w:val="00C0283C"/>
    <w:rsid w:val="00C06CA1"/>
    <w:rsid w:val="00C1086D"/>
    <w:rsid w:val="00C126B9"/>
    <w:rsid w:val="00C16EAD"/>
    <w:rsid w:val="00C27DEE"/>
    <w:rsid w:val="00C31A37"/>
    <w:rsid w:val="00C33BE1"/>
    <w:rsid w:val="00C34469"/>
    <w:rsid w:val="00C34FDF"/>
    <w:rsid w:val="00C35463"/>
    <w:rsid w:val="00C3657D"/>
    <w:rsid w:val="00C47941"/>
    <w:rsid w:val="00C51CFC"/>
    <w:rsid w:val="00C543B6"/>
    <w:rsid w:val="00C5513E"/>
    <w:rsid w:val="00C559C7"/>
    <w:rsid w:val="00C65A37"/>
    <w:rsid w:val="00C6681A"/>
    <w:rsid w:val="00C74003"/>
    <w:rsid w:val="00C7458F"/>
    <w:rsid w:val="00C84CA3"/>
    <w:rsid w:val="00C971F1"/>
    <w:rsid w:val="00C974E1"/>
    <w:rsid w:val="00CA261F"/>
    <w:rsid w:val="00CA2B9F"/>
    <w:rsid w:val="00CA6310"/>
    <w:rsid w:val="00CB46F5"/>
    <w:rsid w:val="00CD2811"/>
    <w:rsid w:val="00CD36EF"/>
    <w:rsid w:val="00CE176C"/>
    <w:rsid w:val="00CE1C01"/>
    <w:rsid w:val="00CE39C8"/>
    <w:rsid w:val="00CE3F75"/>
    <w:rsid w:val="00CF09D3"/>
    <w:rsid w:val="00CF24A7"/>
    <w:rsid w:val="00CF30D1"/>
    <w:rsid w:val="00CF6869"/>
    <w:rsid w:val="00CF701D"/>
    <w:rsid w:val="00CF7D1B"/>
    <w:rsid w:val="00D04A22"/>
    <w:rsid w:val="00D05C16"/>
    <w:rsid w:val="00D075F7"/>
    <w:rsid w:val="00D1209B"/>
    <w:rsid w:val="00D156FE"/>
    <w:rsid w:val="00D15B38"/>
    <w:rsid w:val="00D23C41"/>
    <w:rsid w:val="00D24B27"/>
    <w:rsid w:val="00D254B9"/>
    <w:rsid w:val="00D26210"/>
    <w:rsid w:val="00D26967"/>
    <w:rsid w:val="00D34037"/>
    <w:rsid w:val="00D40FE8"/>
    <w:rsid w:val="00D41780"/>
    <w:rsid w:val="00D41A7C"/>
    <w:rsid w:val="00D47884"/>
    <w:rsid w:val="00D5149D"/>
    <w:rsid w:val="00D54376"/>
    <w:rsid w:val="00D566D3"/>
    <w:rsid w:val="00D67A60"/>
    <w:rsid w:val="00D7328A"/>
    <w:rsid w:val="00D7600F"/>
    <w:rsid w:val="00D84D2C"/>
    <w:rsid w:val="00D85B50"/>
    <w:rsid w:val="00D85CE6"/>
    <w:rsid w:val="00D876FC"/>
    <w:rsid w:val="00D87B39"/>
    <w:rsid w:val="00D93537"/>
    <w:rsid w:val="00D9655E"/>
    <w:rsid w:val="00D96A9C"/>
    <w:rsid w:val="00D96FEC"/>
    <w:rsid w:val="00DA6D84"/>
    <w:rsid w:val="00DB349E"/>
    <w:rsid w:val="00DC1269"/>
    <w:rsid w:val="00DC319C"/>
    <w:rsid w:val="00DC6D62"/>
    <w:rsid w:val="00DD4A2D"/>
    <w:rsid w:val="00DD4CCF"/>
    <w:rsid w:val="00DD5EB8"/>
    <w:rsid w:val="00DE0973"/>
    <w:rsid w:val="00DE26D2"/>
    <w:rsid w:val="00DE53F7"/>
    <w:rsid w:val="00DE6AE7"/>
    <w:rsid w:val="00DF1745"/>
    <w:rsid w:val="00DF392A"/>
    <w:rsid w:val="00DF6918"/>
    <w:rsid w:val="00E00624"/>
    <w:rsid w:val="00E0484A"/>
    <w:rsid w:val="00E108CE"/>
    <w:rsid w:val="00E1258F"/>
    <w:rsid w:val="00E14DBF"/>
    <w:rsid w:val="00E14ED0"/>
    <w:rsid w:val="00E167CD"/>
    <w:rsid w:val="00E221B9"/>
    <w:rsid w:val="00E23ABE"/>
    <w:rsid w:val="00E26173"/>
    <w:rsid w:val="00E30130"/>
    <w:rsid w:val="00E30FB6"/>
    <w:rsid w:val="00E3624D"/>
    <w:rsid w:val="00E36F30"/>
    <w:rsid w:val="00E40C58"/>
    <w:rsid w:val="00E421B9"/>
    <w:rsid w:val="00E42945"/>
    <w:rsid w:val="00E42EE1"/>
    <w:rsid w:val="00E44BB4"/>
    <w:rsid w:val="00E44CCB"/>
    <w:rsid w:val="00E51903"/>
    <w:rsid w:val="00E52F52"/>
    <w:rsid w:val="00E56333"/>
    <w:rsid w:val="00E574B5"/>
    <w:rsid w:val="00E62590"/>
    <w:rsid w:val="00E637F5"/>
    <w:rsid w:val="00E706FF"/>
    <w:rsid w:val="00E722DC"/>
    <w:rsid w:val="00E728F6"/>
    <w:rsid w:val="00E73625"/>
    <w:rsid w:val="00E83ED0"/>
    <w:rsid w:val="00E87895"/>
    <w:rsid w:val="00E92668"/>
    <w:rsid w:val="00E92FCA"/>
    <w:rsid w:val="00E93B5B"/>
    <w:rsid w:val="00E9667D"/>
    <w:rsid w:val="00E97489"/>
    <w:rsid w:val="00E9798F"/>
    <w:rsid w:val="00EA114A"/>
    <w:rsid w:val="00EA3A01"/>
    <w:rsid w:val="00EA530D"/>
    <w:rsid w:val="00EA7A45"/>
    <w:rsid w:val="00EB039E"/>
    <w:rsid w:val="00EB3D52"/>
    <w:rsid w:val="00EB556E"/>
    <w:rsid w:val="00EB7517"/>
    <w:rsid w:val="00EB7A0C"/>
    <w:rsid w:val="00EC2143"/>
    <w:rsid w:val="00EC6407"/>
    <w:rsid w:val="00ED10DF"/>
    <w:rsid w:val="00ED34A7"/>
    <w:rsid w:val="00ED747C"/>
    <w:rsid w:val="00EE644E"/>
    <w:rsid w:val="00EE7503"/>
    <w:rsid w:val="00EF37D8"/>
    <w:rsid w:val="00EF4EE8"/>
    <w:rsid w:val="00F103B6"/>
    <w:rsid w:val="00F15A30"/>
    <w:rsid w:val="00F15D45"/>
    <w:rsid w:val="00F20F19"/>
    <w:rsid w:val="00F2495D"/>
    <w:rsid w:val="00F25403"/>
    <w:rsid w:val="00F271D5"/>
    <w:rsid w:val="00F27559"/>
    <w:rsid w:val="00F27E20"/>
    <w:rsid w:val="00F3080A"/>
    <w:rsid w:val="00F32874"/>
    <w:rsid w:val="00F35F2A"/>
    <w:rsid w:val="00F36BFB"/>
    <w:rsid w:val="00F435EA"/>
    <w:rsid w:val="00F50E32"/>
    <w:rsid w:val="00F61071"/>
    <w:rsid w:val="00F6162D"/>
    <w:rsid w:val="00F61820"/>
    <w:rsid w:val="00F618A6"/>
    <w:rsid w:val="00F62BF2"/>
    <w:rsid w:val="00F63B2B"/>
    <w:rsid w:val="00F6403F"/>
    <w:rsid w:val="00F641D8"/>
    <w:rsid w:val="00F64330"/>
    <w:rsid w:val="00F64955"/>
    <w:rsid w:val="00F7592F"/>
    <w:rsid w:val="00F76605"/>
    <w:rsid w:val="00F828D4"/>
    <w:rsid w:val="00F83F51"/>
    <w:rsid w:val="00F97D99"/>
    <w:rsid w:val="00FA180B"/>
    <w:rsid w:val="00FA6F23"/>
    <w:rsid w:val="00FA7219"/>
    <w:rsid w:val="00FB063E"/>
    <w:rsid w:val="00FB0BC3"/>
    <w:rsid w:val="00FB3C14"/>
    <w:rsid w:val="00FC029F"/>
    <w:rsid w:val="00FC33BA"/>
    <w:rsid w:val="00FC3D86"/>
    <w:rsid w:val="00FD125D"/>
    <w:rsid w:val="00FD16B3"/>
    <w:rsid w:val="00FD4603"/>
    <w:rsid w:val="00FD4D43"/>
    <w:rsid w:val="00FE2845"/>
    <w:rsid w:val="00FE2EE6"/>
    <w:rsid w:val="00FF5553"/>
    <w:rsid w:val="0CE6CC6B"/>
    <w:rsid w:val="2EDF80FC"/>
    <w:rsid w:val="38F357D3"/>
    <w:rsid w:val="50CDFC54"/>
    <w:rsid w:val="58FB5D0A"/>
    <w:rsid w:val="59A6CAAF"/>
    <w:rsid w:val="5DD8D7BB"/>
    <w:rsid w:val="6931F0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DCC0EB"/>
  <w15:docId w15:val="{807131DF-70D9-4A92-AC1A-A05F2C497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9"/>
    <w:lsdException w:name="heading 2" w:uiPriority="9"/>
    <w:lsdException w:name="heading 3" w:uiPriority="9"/>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D77B3"/>
    <w:pPr>
      <w:spacing w:after="180"/>
      <w:jc w:val="both"/>
    </w:pPr>
    <w:rPr>
      <w:rFonts w:ascii="Arial" w:hAnsi="Arial"/>
      <w:sz w:val="18"/>
    </w:rPr>
  </w:style>
  <w:style w:type="paragraph" w:styleId="Heading1">
    <w:name w:val="heading 1"/>
    <w:basedOn w:val="Normal"/>
    <w:next w:val="Normal"/>
    <w:link w:val="Heading1Char"/>
    <w:autoRedefine/>
    <w:uiPriority w:val="9"/>
    <w:rsid w:val="00565D5A"/>
    <w:pPr>
      <w:keepNext/>
      <w:spacing w:before="360"/>
      <w:outlineLvl w:val="0"/>
    </w:pPr>
    <w:rPr>
      <w:b/>
      <w:bCs/>
      <w:kern w:val="32"/>
      <w:szCs w:val="32"/>
    </w:rPr>
  </w:style>
  <w:style w:type="paragraph" w:styleId="Heading2">
    <w:name w:val="heading 2"/>
    <w:basedOn w:val="Normal"/>
    <w:next w:val="Normal"/>
    <w:rsid w:val="00BD68AD"/>
    <w:pPr>
      <w:keepNext/>
      <w:outlineLvl w:val="1"/>
    </w:pPr>
    <w:rPr>
      <w:rFonts w:ascii="Times New Roman" w:hAnsi="Times New Roman"/>
      <w:b/>
      <w:i/>
      <w:sz w:val="22"/>
      <w:lang w:eastAsia="en-US"/>
    </w:rPr>
  </w:style>
  <w:style w:type="paragraph" w:styleId="Heading3">
    <w:name w:val="heading 3"/>
    <w:basedOn w:val="Normal"/>
    <w:next w:val="Normal"/>
    <w:rsid w:val="008D115B"/>
    <w:pPr>
      <w:keepNext/>
      <w:spacing w:before="240" w:after="60"/>
      <w:outlineLvl w:val="2"/>
    </w:pPr>
    <w:rPr>
      <w:rFonts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DD5EB8"/>
    <w:rPr>
      <w:color w:val="0563C1"/>
      <w:u w:val="single"/>
    </w:rPr>
  </w:style>
  <w:style w:type="paragraph" w:customStyle="1" w:styleId="DDLTitle">
    <w:name w:val="DDL_Title"/>
    <w:basedOn w:val="Title"/>
    <w:next w:val="DDLSubtitle"/>
    <w:qFormat/>
    <w:rsid w:val="00AD115D"/>
    <w:pPr>
      <w:spacing w:before="0" w:after="280"/>
    </w:pPr>
    <w:rPr>
      <w:rFonts w:ascii="Arial" w:hAnsi="Arial"/>
      <w:sz w:val="18"/>
    </w:rPr>
  </w:style>
  <w:style w:type="paragraph" w:customStyle="1" w:styleId="DDLSubtitle">
    <w:name w:val="DDL_Subtitle"/>
    <w:basedOn w:val="Subtitle"/>
    <w:next w:val="DDLAddress1"/>
    <w:qFormat/>
    <w:rsid w:val="00AD115D"/>
    <w:pPr>
      <w:spacing w:after="180"/>
    </w:pPr>
    <w:rPr>
      <w:rFonts w:ascii="Arial" w:hAnsi="Arial"/>
      <w:b/>
      <w:sz w:val="18"/>
    </w:rPr>
  </w:style>
  <w:style w:type="paragraph" w:styleId="Title">
    <w:name w:val="Title"/>
    <w:basedOn w:val="Normal"/>
    <w:next w:val="Normal"/>
    <w:link w:val="TitleChar"/>
    <w:uiPriority w:val="10"/>
    <w:rsid w:val="00AD115D"/>
    <w:pPr>
      <w:spacing w:before="240" w:after="60"/>
      <w:jc w:val="center"/>
      <w:outlineLvl w:val="0"/>
    </w:pPr>
    <w:rPr>
      <w:rFonts w:ascii="Calibri Light" w:hAnsi="Calibri Light"/>
      <w:b/>
      <w:bCs/>
      <w:kern w:val="28"/>
      <w:sz w:val="32"/>
      <w:szCs w:val="32"/>
    </w:rPr>
  </w:style>
  <w:style w:type="character" w:customStyle="1" w:styleId="Heading1Char">
    <w:name w:val="Heading 1 Char"/>
    <w:link w:val="Heading1"/>
    <w:uiPriority w:val="9"/>
    <w:rsid w:val="00565D5A"/>
    <w:rPr>
      <w:rFonts w:ascii="Arial" w:eastAsia="Times New Roman" w:hAnsi="Arial" w:cs="Times New Roman"/>
      <w:b/>
      <w:bCs/>
      <w:kern w:val="32"/>
      <w:sz w:val="18"/>
      <w:szCs w:val="32"/>
    </w:rPr>
  </w:style>
  <w:style w:type="character" w:customStyle="1" w:styleId="TitleChar">
    <w:name w:val="Title Char"/>
    <w:link w:val="Title"/>
    <w:uiPriority w:val="10"/>
    <w:rsid w:val="00AD115D"/>
    <w:rPr>
      <w:rFonts w:ascii="Calibri Light" w:eastAsia="Times New Roman" w:hAnsi="Calibri Light" w:cs="Times New Roman"/>
      <w:b/>
      <w:bCs/>
      <w:kern w:val="28"/>
      <w:sz w:val="32"/>
      <w:szCs w:val="32"/>
    </w:rPr>
  </w:style>
  <w:style w:type="paragraph" w:styleId="Subtitle">
    <w:name w:val="Subtitle"/>
    <w:basedOn w:val="Normal"/>
    <w:next w:val="Normal"/>
    <w:link w:val="SubtitleChar"/>
    <w:uiPriority w:val="11"/>
    <w:rsid w:val="00AD115D"/>
    <w:pPr>
      <w:spacing w:after="60"/>
      <w:jc w:val="center"/>
      <w:outlineLvl w:val="1"/>
    </w:pPr>
    <w:rPr>
      <w:rFonts w:ascii="Calibri Light" w:hAnsi="Calibri Light"/>
      <w:sz w:val="24"/>
      <w:szCs w:val="24"/>
    </w:rPr>
  </w:style>
  <w:style w:type="character" w:customStyle="1" w:styleId="SubtitleChar">
    <w:name w:val="Subtitle Char"/>
    <w:link w:val="Subtitle"/>
    <w:uiPriority w:val="11"/>
    <w:rsid w:val="00AD115D"/>
    <w:rPr>
      <w:rFonts w:ascii="Calibri Light" w:eastAsia="Times New Roman" w:hAnsi="Calibri Light" w:cs="Times New Roman"/>
      <w:sz w:val="24"/>
      <w:szCs w:val="24"/>
    </w:rPr>
  </w:style>
  <w:style w:type="paragraph" w:customStyle="1" w:styleId="DDLAddress1">
    <w:name w:val="DDL_Address1"/>
    <w:basedOn w:val="DDLSubtitle"/>
    <w:next w:val="DDLAddress2"/>
    <w:qFormat/>
    <w:rsid w:val="00AD115D"/>
    <w:pPr>
      <w:spacing w:after="60"/>
    </w:pPr>
    <w:rPr>
      <w:b w:val="0"/>
    </w:rPr>
  </w:style>
  <w:style w:type="paragraph" w:customStyle="1" w:styleId="DDLAddress2">
    <w:name w:val="DDL_Address2"/>
    <w:basedOn w:val="DDLAddress1"/>
    <w:next w:val="DDLHeading1"/>
    <w:qFormat/>
    <w:rsid w:val="00AD115D"/>
    <w:pPr>
      <w:spacing w:after="280"/>
    </w:pPr>
  </w:style>
  <w:style w:type="paragraph" w:customStyle="1" w:styleId="DDLBodyText">
    <w:name w:val="DDL_BodyText"/>
    <w:basedOn w:val="Normal"/>
    <w:qFormat/>
    <w:rsid w:val="00D156FE"/>
  </w:style>
  <w:style w:type="paragraph" w:customStyle="1" w:styleId="DDLBullets">
    <w:name w:val="DDL_Bullets"/>
    <w:basedOn w:val="Normal"/>
    <w:qFormat/>
    <w:rsid w:val="00D156FE"/>
    <w:pPr>
      <w:numPr>
        <w:numId w:val="4"/>
      </w:numPr>
      <w:tabs>
        <w:tab w:val="left" w:pos="567"/>
        <w:tab w:val="left" w:pos="1701"/>
      </w:tabs>
      <w:spacing w:after="60"/>
      <w:ind w:left="568" w:hanging="284"/>
    </w:pPr>
  </w:style>
  <w:style w:type="paragraph" w:customStyle="1" w:styleId="DDLHeading1">
    <w:name w:val="DDL_Heading1"/>
    <w:basedOn w:val="Heading1"/>
    <w:next w:val="DDLBodyText"/>
    <w:qFormat/>
    <w:rsid w:val="00D156FE"/>
    <w:pPr>
      <w:spacing w:before="280"/>
    </w:pPr>
  </w:style>
  <w:style w:type="character" w:customStyle="1" w:styleId="DDLEmphasis">
    <w:name w:val="DDL_Emphasis"/>
    <w:qFormat/>
    <w:rsid w:val="00821655"/>
    <w:rPr>
      <w:rFonts w:ascii="Arial Black" w:hAnsi="Arial Black"/>
      <w:b w:val="0"/>
      <w:color w:val="595959"/>
      <w:sz w:val="18"/>
    </w:rPr>
  </w:style>
  <w:style w:type="character" w:styleId="CommentReference">
    <w:name w:val="annotation reference"/>
    <w:uiPriority w:val="99"/>
    <w:semiHidden/>
    <w:unhideWhenUsed/>
    <w:rsid w:val="0095324F"/>
    <w:rPr>
      <w:sz w:val="16"/>
      <w:szCs w:val="16"/>
    </w:rPr>
  </w:style>
  <w:style w:type="paragraph" w:styleId="CommentText">
    <w:name w:val="annotation text"/>
    <w:basedOn w:val="Normal"/>
    <w:link w:val="CommentTextChar"/>
    <w:uiPriority w:val="99"/>
    <w:unhideWhenUsed/>
    <w:rsid w:val="0095324F"/>
    <w:rPr>
      <w:sz w:val="20"/>
    </w:rPr>
  </w:style>
  <w:style w:type="character" w:customStyle="1" w:styleId="CommentTextChar">
    <w:name w:val="Comment Text Char"/>
    <w:link w:val="CommentText"/>
    <w:uiPriority w:val="99"/>
    <w:rsid w:val="0095324F"/>
    <w:rPr>
      <w:rFonts w:ascii="Arial" w:hAnsi="Arial"/>
    </w:rPr>
  </w:style>
  <w:style w:type="paragraph" w:styleId="CommentSubject">
    <w:name w:val="annotation subject"/>
    <w:basedOn w:val="CommentText"/>
    <w:next w:val="CommentText"/>
    <w:link w:val="CommentSubjectChar"/>
    <w:uiPriority w:val="99"/>
    <w:semiHidden/>
    <w:unhideWhenUsed/>
    <w:rsid w:val="0095324F"/>
    <w:rPr>
      <w:b/>
      <w:bCs/>
    </w:rPr>
  </w:style>
  <w:style w:type="character" w:customStyle="1" w:styleId="CommentSubjectChar">
    <w:name w:val="Comment Subject Char"/>
    <w:link w:val="CommentSubject"/>
    <w:uiPriority w:val="99"/>
    <w:semiHidden/>
    <w:rsid w:val="0095324F"/>
    <w:rPr>
      <w:rFonts w:ascii="Arial" w:hAnsi="Arial"/>
      <w:b/>
      <w:bCs/>
    </w:rPr>
  </w:style>
  <w:style w:type="paragraph" w:styleId="BalloonText">
    <w:name w:val="Balloon Text"/>
    <w:basedOn w:val="Normal"/>
    <w:link w:val="BalloonTextChar"/>
    <w:uiPriority w:val="99"/>
    <w:semiHidden/>
    <w:unhideWhenUsed/>
    <w:rsid w:val="0095324F"/>
    <w:pPr>
      <w:spacing w:after="0"/>
    </w:pPr>
    <w:rPr>
      <w:rFonts w:ascii="Segoe UI" w:hAnsi="Segoe UI"/>
      <w:szCs w:val="18"/>
    </w:rPr>
  </w:style>
  <w:style w:type="character" w:customStyle="1" w:styleId="BalloonTextChar">
    <w:name w:val="Balloon Text Char"/>
    <w:link w:val="BalloonText"/>
    <w:uiPriority w:val="99"/>
    <w:semiHidden/>
    <w:rsid w:val="0095324F"/>
    <w:rPr>
      <w:rFonts w:ascii="Segoe UI" w:hAnsi="Segoe UI" w:cs="Segoe UI"/>
      <w:sz w:val="18"/>
      <w:szCs w:val="18"/>
    </w:rPr>
  </w:style>
  <w:style w:type="paragraph" w:styleId="Caption">
    <w:name w:val="caption"/>
    <w:basedOn w:val="Normal"/>
    <w:next w:val="Normal"/>
    <w:uiPriority w:val="35"/>
    <w:unhideWhenUsed/>
    <w:qFormat/>
    <w:rsid w:val="0095324F"/>
    <w:rPr>
      <w:b/>
      <w:bCs/>
      <w:sz w:val="20"/>
    </w:rPr>
  </w:style>
  <w:style w:type="paragraph" w:customStyle="1" w:styleId="DDLCaption">
    <w:name w:val="DDL_Caption"/>
    <w:basedOn w:val="Caption"/>
    <w:next w:val="Normal"/>
    <w:qFormat/>
    <w:rsid w:val="0095324F"/>
    <w:pPr>
      <w:tabs>
        <w:tab w:val="left" w:pos="851"/>
      </w:tabs>
    </w:pPr>
    <w:rPr>
      <w:sz w:val="16"/>
      <w:szCs w:val="16"/>
    </w:rPr>
  </w:style>
  <w:style w:type="paragraph" w:customStyle="1" w:styleId="DDLFigure">
    <w:name w:val="DDL_Figure"/>
    <w:basedOn w:val="Normal"/>
    <w:qFormat/>
    <w:rsid w:val="00DF392A"/>
    <w:pPr>
      <w:keepNext/>
      <w:spacing w:after="100"/>
      <w:ind w:left="851"/>
    </w:pPr>
  </w:style>
  <w:style w:type="paragraph" w:styleId="EndnoteText">
    <w:name w:val="endnote text"/>
    <w:basedOn w:val="Normal"/>
    <w:link w:val="EndnoteTextChar"/>
    <w:uiPriority w:val="99"/>
    <w:semiHidden/>
    <w:unhideWhenUsed/>
    <w:rsid w:val="00A515A9"/>
    <w:rPr>
      <w:sz w:val="20"/>
    </w:rPr>
  </w:style>
  <w:style w:type="character" w:customStyle="1" w:styleId="EndnoteTextChar">
    <w:name w:val="Endnote Text Char"/>
    <w:link w:val="EndnoteText"/>
    <w:uiPriority w:val="99"/>
    <w:semiHidden/>
    <w:rsid w:val="00A515A9"/>
    <w:rPr>
      <w:rFonts w:ascii="Arial" w:hAnsi="Arial"/>
    </w:rPr>
  </w:style>
  <w:style w:type="character" w:styleId="EndnoteReference">
    <w:name w:val="endnote reference"/>
    <w:uiPriority w:val="99"/>
    <w:semiHidden/>
    <w:unhideWhenUsed/>
    <w:rsid w:val="00A515A9"/>
    <w:rPr>
      <w:vertAlign w:val="superscript"/>
    </w:rPr>
  </w:style>
  <w:style w:type="character" w:customStyle="1" w:styleId="DDLReferenceSuperscript">
    <w:name w:val="DDL_ReferenceSuperscript"/>
    <w:rsid w:val="00A515A9"/>
    <w:rPr>
      <w:vertAlign w:val="superscript"/>
    </w:rPr>
  </w:style>
  <w:style w:type="paragraph" w:customStyle="1" w:styleId="DDLReferences">
    <w:name w:val="DDL_References"/>
    <w:basedOn w:val="EndnoteText"/>
    <w:rsid w:val="00930DA1"/>
    <w:pPr>
      <w:tabs>
        <w:tab w:val="left" w:pos="284"/>
      </w:tabs>
      <w:ind w:left="284" w:hanging="284"/>
      <w:jc w:val="left"/>
    </w:pPr>
    <w:rPr>
      <w:sz w:val="16"/>
    </w:rPr>
  </w:style>
  <w:style w:type="paragraph" w:styleId="Header">
    <w:name w:val="header"/>
    <w:basedOn w:val="Normal"/>
    <w:link w:val="HeaderChar"/>
    <w:uiPriority w:val="99"/>
    <w:unhideWhenUsed/>
    <w:rsid w:val="00C126B9"/>
    <w:pPr>
      <w:tabs>
        <w:tab w:val="center" w:pos="4513"/>
        <w:tab w:val="right" w:pos="9026"/>
      </w:tabs>
    </w:pPr>
  </w:style>
  <w:style w:type="character" w:customStyle="1" w:styleId="HeaderChar">
    <w:name w:val="Header Char"/>
    <w:link w:val="Header"/>
    <w:uiPriority w:val="99"/>
    <w:rsid w:val="00C126B9"/>
    <w:rPr>
      <w:rFonts w:ascii="Arial" w:hAnsi="Arial"/>
      <w:sz w:val="18"/>
    </w:rPr>
  </w:style>
  <w:style w:type="paragraph" w:styleId="Footer">
    <w:name w:val="footer"/>
    <w:basedOn w:val="Normal"/>
    <w:link w:val="FooterChar"/>
    <w:uiPriority w:val="99"/>
    <w:unhideWhenUsed/>
    <w:rsid w:val="00C126B9"/>
    <w:pPr>
      <w:tabs>
        <w:tab w:val="center" w:pos="4513"/>
        <w:tab w:val="right" w:pos="9026"/>
      </w:tabs>
    </w:pPr>
  </w:style>
  <w:style w:type="character" w:customStyle="1" w:styleId="FooterChar">
    <w:name w:val="Footer Char"/>
    <w:link w:val="Footer"/>
    <w:uiPriority w:val="99"/>
    <w:rsid w:val="00C126B9"/>
    <w:rPr>
      <w:rFonts w:ascii="Arial" w:hAnsi="Arial"/>
      <w:sz w:val="18"/>
    </w:rPr>
  </w:style>
  <w:style w:type="character" w:styleId="PlaceholderText">
    <w:name w:val="Placeholder Text"/>
    <w:basedOn w:val="DefaultParagraphFont"/>
    <w:uiPriority w:val="99"/>
    <w:semiHidden/>
    <w:rsid w:val="00160344"/>
    <w:rPr>
      <w:color w:val="808080"/>
    </w:rPr>
  </w:style>
  <w:style w:type="character" w:styleId="Strong">
    <w:name w:val="Strong"/>
    <w:uiPriority w:val="22"/>
    <w:qFormat/>
    <w:rsid w:val="00E14DBF"/>
    <w:rPr>
      <w:b/>
      <w:bCs/>
    </w:rPr>
  </w:style>
  <w:style w:type="table" w:styleId="GridTable2">
    <w:name w:val="Grid Table 2"/>
    <w:basedOn w:val="TableNormal"/>
    <w:uiPriority w:val="47"/>
    <w:rsid w:val="00F83F5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Revision">
    <w:name w:val="Revision"/>
    <w:hidden/>
    <w:uiPriority w:val="99"/>
    <w:semiHidden/>
    <w:rsid w:val="00755412"/>
    <w:rPr>
      <w:rFonts w:ascii="Arial" w:hAnsi="Arial"/>
      <w:sz w:val="18"/>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ormaltextrun">
    <w:name w:val="normaltextrun"/>
    <w:basedOn w:val="DefaultParagraphFont"/>
    <w:rsid w:val="002F18E5"/>
  </w:style>
  <w:style w:type="table" w:styleId="GridTable2-Accent5">
    <w:name w:val="Grid Table 2 Accent 5"/>
    <w:basedOn w:val="TableNormal"/>
    <w:uiPriority w:val="47"/>
    <w:rsid w:val="000F34BC"/>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5378704">
      <w:bodyDiv w:val="1"/>
      <w:marLeft w:val="0"/>
      <w:marRight w:val="0"/>
      <w:marTop w:val="0"/>
      <w:marBottom w:val="0"/>
      <w:divBdr>
        <w:top w:val="none" w:sz="0" w:space="0" w:color="auto"/>
        <w:left w:val="none" w:sz="0" w:space="0" w:color="auto"/>
        <w:bottom w:val="none" w:sz="0" w:space="0" w:color="auto"/>
        <w:right w:val="none" w:sz="0" w:space="0" w:color="auto"/>
      </w:divBdr>
    </w:div>
    <w:div w:id="548494069">
      <w:bodyDiv w:val="1"/>
      <w:marLeft w:val="0"/>
      <w:marRight w:val="0"/>
      <w:marTop w:val="0"/>
      <w:marBottom w:val="0"/>
      <w:divBdr>
        <w:top w:val="none" w:sz="0" w:space="0" w:color="auto"/>
        <w:left w:val="none" w:sz="0" w:space="0" w:color="auto"/>
        <w:bottom w:val="none" w:sz="0" w:space="0" w:color="auto"/>
        <w:right w:val="none" w:sz="0" w:space="0" w:color="auto"/>
      </w:divBdr>
    </w:div>
    <w:div w:id="1183281930">
      <w:bodyDiv w:val="1"/>
      <w:marLeft w:val="0"/>
      <w:marRight w:val="0"/>
      <w:marTop w:val="0"/>
      <w:marBottom w:val="0"/>
      <w:divBdr>
        <w:top w:val="none" w:sz="0" w:space="0" w:color="auto"/>
        <w:left w:val="none" w:sz="0" w:space="0" w:color="auto"/>
        <w:bottom w:val="none" w:sz="0" w:space="0" w:color="auto"/>
        <w:right w:val="none" w:sz="0" w:space="0" w:color="auto"/>
      </w:divBdr>
    </w:div>
    <w:div w:id="1641349535">
      <w:bodyDiv w:val="1"/>
      <w:marLeft w:val="0"/>
      <w:marRight w:val="0"/>
      <w:marTop w:val="0"/>
      <w:marBottom w:val="0"/>
      <w:divBdr>
        <w:top w:val="none" w:sz="0" w:space="0" w:color="auto"/>
        <w:left w:val="none" w:sz="0" w:space="0" w:color="auto"/>
        <w:bottom w:val="none" w:sz="0" w:space="0" w:color="auto"/>
        <w:right w:val="none" w:sz="0" w:space="0" w:color="auto"/>
      </w:divBdr>
    </w:div>
    <w:div w:id="1648166162">
      <w:bodyDiv w:val="1"/>
      <w:marLeft w:val="0"/>
      <w:marRight w:val="0"/>
      <w:marTop w:val="0"/>
      <w:marBottom w:val="0"/>
      <w:divBdr>
        <w:top w:val="none" w:sz="0" w:space="0" w:color="auto"/>
        <w:left w:val="none" w:sz="0" w:space="0" w:color="auto"/>
        <w:bottom w:val="none" w:sz="0" w:space="0" w:color="auto"/>
        <w:right w:val="none" w:sz="0" w:space="0" w:color="auto"/>
      </w:divBdr>
    </w:div>
    <w:div w:id="1931771727">
      <w:bodyDiv w:val="1"/>
      <w:marLeft w:val="0"/>
      <w:marRight w:val="0"/>
      <w:marTop w:val="0"/>
      <w:marBottom w:val="0"/>
      <w:divBdr>
        <w:top w:val="none" w:sz="0" w:space="0" w:color="auto"/>
        <w:left w:val="none" w:sz="0" w:space="0" w:color="auto"/>
        <w:bottom w:val="none" w:sz="0" w:space="0" w:color="auto"/>
        <w:right w:val="none" w:sz="0" w:space="0" w:color="auto"/>
      </w:divBdr>
    </w:div>
    <w:div w:id="2133087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93874C70D8C44D6B0BA71800E08656C"/>
        <w:category>
          <w:name w:val="General"/>
          <w:gallery w:val="placeholder"/>
        </w:category>
        <w:types>
          <w:type w:val="bbPlcHdr"/>
        </w:types>
        <w:behaviors>
          <w:behavior w:val="content"/>
        </w:behaviors>
        <w:guid w:val="{0CE55F09-29C6-4D1A-89F1-59EE4CB6303B}"/>
      </w:docPartPr>
      <w:docPartBody>
        <w:p w:rsidR="004A5D97" w:rsidRDefault="00623571" w:rsidP="00623571">
          <w:pPr>
            <w:pStyle w:val="F93874C70D8C44D6B0BA71800E08656C4"/>
          </w:pPr>
          <w:r w:rsidRPr="00160344">
            <w:rPr>
              <w:rStyle w:val="PlaceholderText"/>
              <w:color w:val="auto"/>
            </w:rPr>
            <w:t>Title of Your Paper</w:t>
          </w:r>
        </w:p>
      </w:docPartBody>
    </w:docPart>
    <w:docPart>
      <w:docPartPr>
        <w:name w:val="38BA82FFF2774C26AC6862CFB8BB55DB"/>
        <w:category>
          <w:name w:val="General"/>
          <w:gallery w:val="placeholder"/>
        </w:category>
        <w:types>
          <w:type w:val="bbPlcHdr"/>
        </w:types>
        <w:behaviors>
          <w:behavior w:val="content"/>
        </w:behaviors>
        <w:guid w:val="{BF2EA8B4-C61A-4653-9C63-BB7ECA0F24DD}"/>
      </w:docPartPr>
      <w:docPartBody>
        <w:p w:rsidR="004A5D97" w:rsidRDefault="00623571" w:rsidP="00623571">
          <w:pPr>
            <w:pStyle w:val="38BA82FFF2774C26AC6862CFB8BB55DB3"/>
          </w:pPr>
          <w:r w:rsidRPr="00160344">
            <w:rPr>
              <w:rStyle w:val="PlaceholderText"/>
              <w:color w:val="auto"/>
              <w:u w:val="single"/>
            </w:rPr>
            <w:t>Main Author</w:t>
          </w:r>
        </w:p>
      </w:docPartBody>
    </w:docPart>
    <w:docPart>
      <w:docPartPr>
        <w:name w:val="6B5B7D3224EB4DFA8A6F27FA5E213F02"/>
        <w:category>
          <w:name w:val="General"/>
          <w:gallery w:val="placeholder"/>
        </w:category>
        <w:types>
          <w:type w:val="bbPlcHdr"/>
        </w:types>
        <w:behaviors>
          <w:behavior w:val="content"/>
        </w:behaviors>
        <w:guid w:val="{4BD4F3C7-C86E-4C04-BCAE-379F21CBC25B}"/>
      </w:docPartPr>
      <w:docPartBody>
        <w:p w:rsidR="00CD777A" w:rsidRDefault="00022BBE" w:rsidP="00022BBE">
          <w:pPr>
            <w:pStyle w:val="6B5B7D3224EB4DFA8A6F27FA5E213F02"/>
          </w:pPr>
          <w:r w:rsidRPr="00160344">
            <w:rPr>
              <w:rStyle w:val="PlaceholderText"/>
              <w:color w:val="auto"/>
              <w:u w:val="single"/>
            </w:rPr>
            <w:t>Main Author</w:t>
          </w:r>
        </w:p>
      </w:docPartBody>
    </w:docPart>
    <w:docPart>
      <w:docPartPr>
        <w:name w:val="62CECCE9AC334C7DB9ECD1CE39E4D837"/>
        <w:category>
          <w:name w:val="General"/>
          <w:gallery w:val="placeholder"/>
        </w:category>
        <w:types>
          <w:type w:val="bbPlcHdr"/>
        </w:types>
        <w:behaviors>
          <w:behavior w:val="content"/>
        </w:behaviors>
        <w:guid w:val="{64327BDE-A872-4D73-953D-A2E37EC24493}"/>
      </w:docPartPr>
      <w:docPartBody>
        <w:p w:rsidR="00CD777A" w:rsidRDefault="00022BBE" w:rsidP="00022BBE">
          <w:pPr>
            <w:pStyle w:val="62CECCE9AC334C7DB9ECD1CE39E4D837"/>
          </w:pPr>
          <w:r w:rsidRPr="00160344">
            <w:rPr>
              <w:rStyle w:val="PlaceholderText"/>
              <w:color w:val="auto"/>
            </w:rPr>
            <w:t>Title of Your Paper</w:t>
          </w:r>
        </w:p>
      </w:docPartBody>
    </w:docPart>
    <w:docPart>
      <w:docPartPr>
        <w:name w:val="3C73D736C95849AABFF883E22C4E1ACE"/>
        <w:category>
          <w:name w:val="General"/>
          <w:gallery w:val="placeholder"/>
        </w:category>
        <w:types>
          <w:type w:val="bbPlcHdr"/>
        </w:types>
        <w:behaviors>
          <w:behavior w:val="content"/>
        </w:behaviors>
        <w:guid w:val="{77C46D90-4E6E-424E-85C7-7760F4AE6A9B}"/>
      </w:docPartPr>
      <w:docPartBody>
        <w:p w:rsidR="00DE128B" w:rsidRDefault="003C7F61" w:rsidP="003C7F61">
          <w:pPr>
            <w:pStyle w:val="3C73D736C95849AABFF883E22C4E1ACE"/>
          </w:pPr>
          <w:r w:rsidRPr="00160344">
            <w:rPr>
              <w:rStyle w:val="PlaceholderText"/>
              <w:color w:val="auto"/>
            </w:rPr>
            <w:t>Title of Your Paper</w:t>
          </w:r>
        </w:p>
      </w:docPartBody>
    </w:docPart>
    <w:docPart>
      <w:docPartPr>
        <w:name w:val="170502C769824929B94E43CE1B3BB320"/>
        <w:category>
          <w:name w:val="General"/>
          <w:gallery w:val="placeholder"/>
        </w:category>
        <w:types>
          <w:type w:val="bbPlcHdr"/>
        </w:types>
        <w:behaviors>
          <w:behavior w:val="content"/>
        </w:behaviors>
        <w:guid w:val="{BDDC046B-7AC0-4418-9830-E7BA3330A233}"/>
      </w:docPartPr>
      <w:docPartBody>
        <w:p w:rsidR="00DE128B" w:rsidRDefault="003C7F61" w:rsidP="003C7F61">
          <w:pPr>
            <w:pStyle w:val="170502C769824929B94E43CE1B3BB320"/>
          </w:pPr>
          <w:r w:rsidRPr="00160344">
            <w:rPr>
              <w:rStyle w:val="PlaceholderText"/>
              <w:color w:val="auto"/>
            </w:rPr>
            <w:t>Title of Your Paper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623571"/>
    <w:rsid w:val="00022BBE"/>
    <w:rsid w:val="00074500"/>
    <w:rsid w:val="00134A2D"/>
    <w:rsid w:val="001703F7"/>
    <w:rsid w:val="001D4D96"/>
    <w:rsid w:val="001F1BC3"/>
    <w:rsid w:val="0029086B"/>
    <w:rsid w:val="003009AF"/>
    <w:rsid w:val="00351985"/>
    <w:rsid w:val="003C58C5"/>
    <w:rsid w:val="003C7F61"/>
    <w:rsid w:val="004A5D97"/>
    <w:rsid w:val="005025F8"/>
    <w:rsid w:val="005C47F0"/>
    <w:rsid w:val="005F6EA5"/>
    <w:rsid w:val="00623571"/>
    <w:rsid w:val="006875CB"/>
    <w:rsid w:val="006C421F"/>
    <w:rsid w:val="00895F3B"/>
    <w:rsid w:val="0091327B"/>
    <w:rsid w:val="00943A37"/>
    <w:rsid w:val="009A66BF"/>
    <w:rsid w:val="009F0831"/>
    <w:rsid w:val="00AD0A82"/>
    <w:rsid w:val="00B01474"/>
    <w:rsid w:val="00B5617B"/>
    <w:rsid w:val="00B80D91"/>
    <w:rsid w:val="00BB3385"/>
    <w:rsid w:val="00C36C1E"/>
    <w:rsid w:val="00CC19CE"/>
    <w:rsid w:val="00CD777A"/>
    <w:rsid w:val="00CF1D98"/>
    <w:rsid w:val="00DB04D1"/>
    <w:rsid w:val="00DE128B"/>
    <w:rsid w:val="00E60656"/>
    <w:rsid w:val="00EC465C"/>
    <w:rsid w:val="00F121DF"/>
    <w:rsid w:val="00FA10F5"/>
    <w:rsid w:val="00FB16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450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C7F61"/>
    <w:rPr>
      <w:color w:val="808080"/>
    </w:rPr>
  </w:style>
  <w:style w:type="paragraph" w:customStyle="1" w:styleId="F93874C70D8C44D6B0BA71800E08656C4">
    <w:name w:val="F93874C70D8C44D6B0BA71800E08656C4"/>
    <w:rsid w:val="00623571"/>
    <w:pPr>
      <w:spacing w:after="280" w:line="240" w:lineRule="auto"/>
      <w:jc w:val="center"/>
      <w:outlineLvl w:val="0"/>
    </w:pPr>
    <w:rPr>
      <w:rFonts w:ascii="Arial" w:eastAsia="Times New Roman" w:hAnsi="Arial" w:cs="Times New Roman"/>
      <w:b/>
      <w:bCs/>
      <w:kern w:val="28"/>
      <w:sz w:val="18"/>
      <w:szCs w:val="32"/>
    </w:rPr>
  </w:style>
  <w:style w:type="paragraph" w:customStyle="1" w:styleId="38BA82FFF2774C26AC6862CFB8BB55DB3">
    <w:name w:val="38BA82FFF2774C26AC6862CFB8BB55DB3"/>
    <w:rsid w:val="00623571"/>
    <w:pPr>
      <w:spacing w:after="180" w:line="240" w:lineRule="auto"/>
      <w:jc w:val="center"/>
      <w:outlineLvl w:val="1"/>
    </w:pPr>
    <w:rPr>
      <w:rFonts w:ascii="Arial" w:eastAsia="Times New Roman" w:hAnsi="Arial" w:cs="Times New Roman"/>
      <w:b/>
      <w:sz w:val="18"/>
      <w:szCs w:val="24"/>
    </w:rPr>
  </w:style>
  <w:style w:type="paragraph" w:customStyle="1" w:styleId="6B5B7D3224EB4DFA8A6F27FA5E213F02">
    <w:name w:val="6B5B7D3224EB4DFA8A6F27FA5E213F02"/>
    <w:rsid w:val="00022BBE"/>
  </w:style>
  <w:style w:type="paragraph" w:customStyle="1" w:styleId="62CECCE9AC334C7DB9ECD1CE39E4D837">
    <w:name w:val="62CECCE9AC334C7DB9ECD1CE39E4D837"/>
    <w:rsid w:val="00022BBE"/>
  </w:style>
  <w:style w:type="paragraph" w:customStyle="1" w:styleId="3C73D736C95849AABFF883E22C4E1ACE">
    <w:name w:val="3C73D736C95849AABFF883E22C4E1ACE"/>
    <w:rsid w:val="003C7F61"/>
    <w:rPr>
      <w:kern w:val="2"/>
      <w14:ligatures w14:val="standardContextual"/>
    </w:rPr>
  </w:style>
  <w:style w:type="paragraph" w:customStyle="1" w:styleId="170502C769824929B94E43CE1B3BB320">
    <w:name w:val="170502C769824929B94E43CE1B3BB320"/>
    <w:rsid w:val="003C7F61"/>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0022fe9-26d9-4c31-8678-3a6eabb28834" xsi:nil="true"/>
    <lcf76f155ced4ddcb4097134ff3c332f xmlns="64c78038-89ac-4195-83e1-1279128b6e0c">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EF259E3E31D224CBC1D2EE3CF76D9A2" ma:contentTypeVersion="17" ma:contentTypeDescription="Create a new document." ma:contentTypeScope="" ma:versionID="320f9be5622f2c3bbae300052da4358e">
  <xsd:schema xmlns:xsd="http://www.w3.org/2001/XMLSchema" xmlns:xs="http://www.w3.org/2001/XMLSchema" xmlns:p="http://schemas.microsoft.com/office/2006/metadata/properties" xmlns:ns2="64c78038-89ac-4195-83e1-1279128b6e0c" xmlns:ns3="00022fe9-26d9-4c31-8678-3a6eabb28834" targetNamespace="http://schemas.microsoft.com/office/2006/metadata/properties" ma:root="true" ma:fieldsID="c9c78a53216fb7b5b604c44046959057" ns2:_="" ns3:_="">
    <xsd:import namespace="64c78038-89ac-4195-83e1-1279128b6e0c"/>
    <xsd:import namespace="00022fe9-26d9-4c31-8678-3a6eabb2883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c78038-89ac-4195-83e1-1279128b6e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76672f0-0c0c-4f0d-ba1c-f52cb396b36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0022fe9-26d9-4c31-8678-3a6eabb2883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c0154c5-9d40-4264-885d-38a3ec9d1022}" ma:internalName="TaxCatchAll" ma:showField="CatchAllData" ma:web="00022fe9-26d9-4c31-8678-3a6eabb288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030BD7A-820B-4079-A950-7F0AAC772676}">
  <ds:schemaRefs>
    <ds:schemaRef ds:uri="http://schemas.microsoft.com/office/2006/metadata/properties"/>
    <ds:schemaRef ds:uri="http://schemas.microsoft.com/office/infopath/2007/PartnerControls"/>
    <ds:schemaRef ds:uri="37a72d79-8f1f-4277-bbb8-00cdaf84f11e"/>
    <ds:schemaRef ds:uri="33606715-5e56-4dbb-9605-90adbf06f7f9"/>
  </ds:schemaRefs>
</ds:datastoreItem>
</file>

<file path=customXml/itemProps2.xml><?xml version="1.0" encoding="utf-8"?>
<ds:datastoreItem xmlns:ds="http://schemas.openxmlformats.org/officeDocument/2006/customXml" ds:itemID="{10D06E51-7048-44CF-A7B4-9F7D6D30CF35}">
  <ds:schemaRefs>
    <ds:schemaRef ds:uri="http://schemas.openxmlformats.org/officeDocument/2006/bibliography"/>
  </ds:schemaRefs>
</ds:datastoreItem>
</file>

<file path=customXml/itemProps3.xml><?xml version="1.0" encoding="utf-8"?>
<ds:datastoreItem xmlns:ds="http://schemas.openxmlformats.org/officeDocument/2006/customXml" ds:itemID="{B291A1FE-FD5F-4766-BF61-9070E8304D1B}"/>
</file>

<file path=customXml/itemProps4.xml><?xml version="1.0" encoding="utf-8"?>
<ds:datastoreItem xmlns:ds="http://schemas.openxmlformats.org/officeDocument/2006/customXml" ds:itemID="{FCA5D22E-BE9C-4A4D-97B4-7D4C5D48F51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1781</Words>
  <Characters>9972</Characters>
  <Application>Microsoft Office Word</Application>
  <DocSecurity>4</DocSecurity>
  <Lines>83</Lines>
  <Paragraphs>23</Paragraphs>
  <ScaleCrop>false</ScaleCrop>
  <HeadingPairs>
    <vt:vector size="2" baseType="variant">
      <vt:variant>
        <vt:lpstr>Title</vt:lpstr>
      </vt:variant>
      <vt:variant>
        <vt:i4>1</vt:i4>
      </vt:variant>
    </vt:vector>
  </HeadingPairs>
  <TitlesOfParts>
    <vt:vector size="1" baseType="lpstr">
      <vt:lpstr>Drug Delivery to the Lungs 20</vt:lpstr>
    </vt:vector>
  </TitlesOfParts>
  <Company>3M</Company>
  <LinksUpToDate>false</LinksUpToDate>
  <CharactersWithSpaces>11730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Drug Delivery to the Lungs 20</dc:title>
  <dc:creator>UK000470</dc:creator>
  <cp:lastModifiedBy>Nikki Evans</cp:lastModifiedBy>
  <cp:revision>2</cp:revision>
  <cp:lastPrinted>2015-06-18T14:58:00Z</cp:lastPrinted>
  <dcterms:created xsi:type="dcterms:W3CDTF">2023-09-25T12:14:00Z</dcterms:created>
  <dcterms:modified xsi:type="dcterms:W3CDTF">2023-09-25T12:14:00Z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0x0101009EF259E3E31D224CBC1D2EE3CF76D9A2</vt:lpwstr>
  </property>
  <property fmtid="{D5CDD505-2E9C-101B-9397-08002B2CF9AE}" pid="3" name="MediaServiceImageTags">
    <vt:lpwstr/>
  </property>
</Properties>
</file>