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Title"/>
    <w:p w14:paraId="57DCC0EB" w14:textId="3CECD0F2" w:rsidR="000E77D5" w:rsidRPr="00160344" w:rsidRDefault="009F5D0A" w:rsidP="00AD115D">
      <w:pPr>
        <w:pStyle w:val="DDLTitle"/>
      </w:pPr>
      <w:sdt>
        <w:sdtPr>
          <w:alias w:val="Title"/>
          <w:tag w:val="Title"/>
          <w:id w:val="-912845432"/>
          <w:lock w:val="sdtLocked"/>
          <w:placeholder>
            <w:docPart w:val="F93874C70D8C44D6B0BA71800E08656C"/>
          </w:placeholder>
        </w:sdtPr>
        <w:sdtEndPr/>
        <w:sdtContent>
          <w:r w:rsidR="00841376" w:rsidRPr="00D20C59">
            <w:rPr>
              <w:color w:val="000000" w:themeColor="text1"/>
            </w:rPr>
            <w:t xml:space="preserve">Pulmonary delivery of </w:t>
          </w:r>
          <w:r w:rsidR="00841376" w:rsidRPr="00D20C59">
            <w:rPr>
              <w:i/>
              <w:iCs/>
              <w:color w:val="000000" w:themeColor="text1"/>
            </w:rPr>
            <w:t xml:space="preserve">Lactobacillus </w:t>
          </w:r>
          <w:proofErr w:type="spellStart"/>
          <w:r w:rsidR="00841376" w:rsidRPr="00D20C59">
            <w:rPr>
              <w:i/>
              <w:iCs/>
              <w:color w:val="000000" w:themeColor="text1"/>
            </w:rPr>
            <w:t>rhamnosus</w:t>
          </w:r>
          <w:proofErr w:type="spellEnd"/>
          <w:r w:rsidR="00841376" w:rsidRPr="00D20C59">
            <w:rPr>
              <w:color w:val="000000" w:themeColor="text1"/>
            </w:rPr>
            <w:t xml:space="preserve"> GG with vibrating</w:t>
          </w:r>
          <w:r w:rsidR="00841376">
            <w:rPr>
              <w:color w:val="000000" w:themeColor="text1"/>
            </w:rPr>
            <w:t xml:space="preserve"> mesh and jet nebulisers</w:t>
          </w:r>
        </w:sdtContent>
      </w:sdt>
      <w:bookmarkEnd w:id="0"/>
      <w:r w:rsidR="00881895">
        <w:t xml:space="preserve"> </w:t>
      </w:r>
    </w:p>
    <w:bookmarkStart w:id="1" w:name="Author"/>
    <w:p w14:paraId="57DCC0EC" w14:textId="75E805A8" w:rsidR="00C65A37" w:rsidRPr="00AD115D" w:rsidRDefault="009F5D0A" w:rsidP="00AD115D">
      <w:pPr>
        <w:pStyle w:val="DDLSubtitle"/>
      </w:pPr>
      <w:sdt>
        <w:sdtPr>
          <w:rPr>
            <w:u w:val="single"/>
          </w:rPr>
          <w:alias w:val="Main Author"/>
          <w:tag w:val="Main Author"/>
          <w:id w:val="854543900"/>
          <w:lock w:val="sdtLocked"/>
          <w:placeholder>
            <w:docPart w:val="38BA82FFF2774C26AC6862CFB8BB55DB"/>
          </w:placeholder>
        </w:sdtPr>
        <w:sdtEndPr/>
        <w:sdtContent>
          <w:r w:rsidR="00513E50">
            <w:rPr>
              <w:u w:val="single"/>
            </w:rPr>
            <w:t>Alex Seungyeon Byun</w:t>
          </w:r>
        </w:sdtContent>
      </w:sdt>
      <w:bookmarkEnd w:id="1"/>
      <w:r w:rsidR="00676DA7" w:rsidRPr="00AD115D">
        <w:rPr>
          <w:vertAlign w:val="superscript"/>
        </w:rPr>
        <w:t>1</w:t>
      </w:r>
      <w:r w:rsidR="00676DA7" w:rsidRPr="00AD115D">
        <w:t xml:space="preserve">, </w:t>
      </w:r>
      <w:r w:rsidR="00F1766A" w:rsidRPr="00D20C59">
        <w:rPr>
          <w:color w:val="000000" w:themeColor="text1"/>
        </w:rPr>
        <w:t>Luis Vitetta</w:t>
      </w:r>
      <w:r w:rsidR="00F1766A" w:rsidRPr="00D20C59">
        <w:rPr>
          <w:color w:val="000000" w:themeColor="text1"/>
          <w:vertAlign w:val="superscript"/>
        </w:rPr>
        <w:t>1</w:t>
      </w:r>
      <w:r w:rsidR="00F1766A" w:rsidRPr="00D20C59">
        <w:rPr>
          <w:color w:val="000000" w:themeColor="text1"/>
        </w:rPr>
        <w:t>, Hak-Kim Chan</w:t>
      </w:r>
      <w:r w:rsidR="00F1766A" w:rsidRPr="00D20C59">
        <w:rPr>
          <w:color w:val="000000" w:themeColor="text1"/>
          <w:vertAlign w:val="superscript"/>
        </w:rPr>
        <w:t>1</w:t>
      </w:r>
      <w:r w:rsidR="00F1766A" w:rsidRPr="00D20C59">
        <w:rPr>
          <w:color w:val="000000" w:themeColor="text1"/>
        </w:rPr>
        <w:t xml:space="preserve"> &amp; Philip Chi Lip Kwok</w:t>
      </w:r>
      <w:r w:rsidR="00F1766A" w:rsidRPr="00D20C59">
        <w:rPr>
          <w:color w:val="000000" w:themeColor="text1"/>
          <w:vertAlign w:val="superscript"/>
        </w:rPr>
        <w:t>1</w:t>
      </w:r>
    </w:p>
    <w:p w14:paraId="136619DD" w14:textId="77777777" w:rsidR="004B1CFB" w:rsidRPr="00D20C59" w:rsidRDefault="004B1CFB" w:rsidP="004B1CFB">
      <w:pPr>
        <w:pStyle w:val="DDLAddress1"/>
        <w:rPr>
          <w:color w:val="000000" w:themeColor="text1"/>
        </w:rPr>
      </w:pPr>
      <w:r w:rsidRPr="00D20C59">
        <w:rPr>
          <w:color w:val="000000" w:themeColor="text1"/>
          <w:vertAlign w:val="superscript"/>
        </w:rPr>
        <w:t>1</w:t>
      </w:r>
      <w:r w:rsidRPr="00D20C59">
        <w:rPr>
          <w:color w:val="000000" w:themeColor="text1"/>
        </w:rPr>
        <w:t>School of Pharmacy, Faculty of Medicine and Health, The University of Sydney, New South Wales 2006, Australia</w:t>
      </w:r>
    </w:p>
    <w:p w14:paraId="57DCC0EF" w14:textId="77777777" w:rsidR="00C65A37" w:rsidRPr="00582113" w:rsidRDefault="00C65A37" w:rsidP="00D156FE">
      <w:pPr>
        <w:pStyle w:val="DDLHeading1"/>
        <w:rPr>
          <w:sz w:val="20"/>
          <w:szCs w:val="20"/>
        </w:rPr>
      </w:pPr>
      <w:r w:rsidRPr="00582113">
        <w:rPr>
          <w:sz w:val="20"/>
          <w:szCs w:val="20"/>
        </w:rPr>
        <w:t>Summary</w:t>
      </w:r>
    </w:p>
    <w:p w14:paraId="5FA88CB4" w14:textId="11C4F667" w:rsidR="0008694E" w:rsidRDefault="0008694E" w:rsidP="0008694E">
      <w:pPr>
        <w:pStyle w:val="DDLBodyText"/>
        <w:rPr>
          <w:color w:val="000000" w:themeColor="text1"/>
          <w:sz w:val="20"/>
        </w:rPr>
      </w:pPr>
      <w:r w:rsidRPr="00D20C59">
        <w:rPr>
          <w:color w:val="000000" w:themeColor="text1"/>
          <w:sz w:val="20"/>
        </w:rPr>
        <w:t xml:space="preserve">Probiotics are commonly used to improve gastrointestinal symptoms and maintain health. Studies have frequently demonstrated the positive effects that oral probiotics exert not only in the gastrointestinal tract but also the respiratory tract. There is sufficient evidence to support that oral probiotics can reduce the incidence and severity of upper respiratory tract infections, thereby reducing antimicrobial use. In the past decade, some animal studies have examined the effects of intranasal probiotics on the respiratory tract, but nebulised probiotics have not yet to be explored. Therefore, this study compared the dose output and aerosol performance of probiotics nebulised from vibrating mesh and jet nebulisers. The vibrating mesh nebuliser </w:t>
      </w:r>
      <w:r>
        <w:rPr>
          <w:color w:val="000000" w:themeColor="text1"/>
          <w:sz w:val="20"/>
        </w:rPr>
        <w:t xml:space="preserve">(VMN) </w:t>
      </w:r>
      <w:r w:rsidRPr="00D20C59">
        <w:rPr>
          <w:color w:val="000000" w:themeColor="text1"/>
          <w:sz w:val="20"/>
        </w:rPr>
        <w:t>consistently produced a higher output than the jet nebuliser</w:t>
      </w:r>
      <w:r>
        <w:rPr>
          <w:color w:val="000000" w:themeColor="text1"/>
          <w:sz w:val="20"/>
        </w:rPr>
        <w:t xml:space="preserve"> (JN)</w:t>
      </w:r>
      <w:r w:rsidRPr="00D20C59">
        <w:rPr>
          <w:color w:val="000000" w:themeColor="text1"/>
          <w:sz w:val="20"/>
        </w:rPr>
        <w:t xml:space="preserve"> for </w:t>
      </w:r>
      <w:r w:rsidRPr="00D20C59">
        <w:rPr>
          <w:i/>
          <w:iCs/>
          <w:color w:val="000000" w:themeColor="text1"/>
          <w:sz w:val="20"/>
        </w:rPr>
        <w:t xml:space="preserve">Lactobacillus </w:t>
      </w:r>
      <w:proofErr w:type="spellStart"/>
      <w:r w:rsidRPr="00D20C59">
        <w:rPr>
          <w:i/>
          <w:iCs/>
          <w:color w:val="000000" w:themeColor="text1"/>
          <w:sz w:val="20"/>
        </w:rPr>
        <w:t>rhamnosus</w:t>
      </w:r>
      <w:proofErr w:type="spellEnd"/>
      <w:r w:rsidRPr="00D20C59">
        <w:rPr>
          <w:i/>
          <w:iCs/>
          <w:color w:val="000000" w:themeColor="text1"/>
          <w:sz w:val="20"/>
        </w:rPr>
        <w:t xml:space="preserve"> </w:t>
      </w:r>
      <w:r w:rsidRPr="00D20C59">
        <w:rPr>
          <w:color w:val="000000" w:themeColor="text1"/>
          <w:sz w:val="20"/>
        </w:rPr>
        <w:t xml:space="preserve">GG in both </w:t>
      </w:r>
      <w:r w:rsidRPr="00917EA9">
        <w:rPr>
          <w:rFonts w:cs="Arial"/>
          <w:color w:val="000000" w:themeColor="text1"/>
          <w:sz w:val="20"/>
        </w:rPr>
        <w:t xml:space="preserve">phosphate-buffered saline (PBS) and normal saline (0.9% w/v sodium chloride in water) at </w:t>
      </w:r>
      <w:r w:rsidR="00C7120A" w:rsidRPr="00D20C59">
        <w:rPr>
          <w:color w:val="000000" w:themeColor="text1"/>
          <w:sz w:val="20"/>
        </w:rPr>
        <w:t xml:space="preserve">23.18 </w:t>
      </w:r>
      <w:r w:rsidR="00C7120A" w:rsidRPr="00D20C59">
        <w:rPr>
          <w:rFonts w:ascii="Symbol" w:eastAsia="Symbol" w:hAnsi="Symbol" w:cs="Symbol"/>
          <w:color w:val="000000" w:themeColor="text1"/>
          <w:sz w:val="20"/>
        </w:rPr>
        <w:t>±</w:t>
      </w:r>
      <w:r w:rsidR="00C7120A" w:rsidRPr="00D20C59">
        <w:rPr>
          <w:color w:val="000000" w:themeColor="text1"/>
          <w:sz w:val="20"/>
        </w:rPr>
        <w:t xml:space="preserve"> 0.99% and 10.43 </w:t>
      </w:r>
      <w:r w:rsidR="00C7120A" w:rsidRPr="00D20C59">
        <w:rPr>
          <w:rFonts w:ascii="Symbol" w:eastAsia="Symbol" w:hAnsi="Symbol" w:cs="Symbol"/>
          <w:color w:val="000000" w:themeColor="text1"/>
          <w:sz w:val="20"/>
        </w:rPr>
        <w:t>±</w:t>
      </w:r>
      <w:r w:rsidR="00C7120A" w:rsidRPr="00D20C59">
        <w:rPr>
          <w:color w:val="000000" w:themeColor="text1"/>
          <w:sz w:val="20"/>
        </w:rPr>
        <w:t xml:space="preserve"> 3.99%</w:t>
      </w:r>
      <w:r w:rsidRPr="00917EA9">
        <w:rPr>
          <w:rFonts w:cs="Arial"/>
          <w:color w:val="000000" w:themeColor="text1"/>
          <w:sz w:val="20"/>
        </w:rPr>
        <w:t>, respectively. For both nebulisers, probiotic in PBS outperformed its saline counterpart. A similar</w:t>
      </w:r>
      <w:r w:rsidRPr="00D20C59">
        <w:rPr>
          <w:color w:val="000000" w:themeColor="text1"/>
          <w:sz w:val="20"/>
        </w:rPr>
        <w:t xml:space="preserve"> trend was observed with the fine particle fraction</w:t>
      </w:r>
      <w:r>
        <w:rPr>
          <w:color w:val="000000" w:themeColor="text1"/>
          <w:sz w:val="20"/>
        </w:rPr>
        <w:t xml:space="preserve"> </w:t>
      </w:r>
      <w:r w:rsidRPr="00D20C59">
        <w:rPr>
          <w:color w:val="000000" w:themeColor="text1"/>
          <w:sz w:val="20"/>
        </w:rPr>
        <w:t>as it was higher for PBS</w:t>
      </w:r>
      <w:r>
        <w:rPr>
          <w:color w:val="000000" w:themeColor="text1"/>
          <w:sz w:val="20"/>
        </w:rPr>
        <w:t xml:space="preserve"> (</w:t>
      </w:r>
      <w:r w:rsidR="00026C4B" w:rsidRPr="00D20C59">
        <w:rPr>
          <w:color w:val="000000" w:themeColor="text1"/>
          <w:sz w:val="20"/>
        </w:rPr>
        <w:t xml:space="preserve">12.95 </w:t>
      </w:r>
      <w:r w:rsidR="00026C4B" w:rsidRPr="00D20C59">
        <w:rPr>
          <w:rFonts w:ascii="Symbol" w:eastAsia="Symbol" w:hAnsi="Symbol" w:cs="Symbol"/>
          <w:color w:val="000000" w:themeColor="text1"/>
          <w:sz w:val="20"/>
        </w:rPr>
        <w:t>±</w:t>
      </w:r>
      <w:r w:rsidR="00026C4B" w:rsidRPr="00D20C59">
        <w:rPr>
          <w:color w:val="000000" w:themeColor="text1"/>
          <w:sz w:val="20"/>
        </w:rPr>
        <w:t xml:space="preserve"> 0.96% </w:t>
      </w:r>
      <w:r>
        <w:rPr>
          <w:color w:val="000000" w:themeColor="text1"/>
          <w:sz w:val="20"/>
        </w:rPr>
        <w:t xml:space="preserve">for VMN; </w:t>
      </w:r>
      <w:r w:rsidR="00AF43C4" w:rsidRPr="00D20C59">
        <w:rPr>
          <w:color w:val="000000" w:themeColor="text1"/>
          <w:sz w:val="20"/>
        </w:rPr>
        <w:t xml:space="preserve">11.21 </w:t>
      </w:r>
      <w:r w:rsidR="00AF43C4" w:rsidRPr="00D20C59">
        <w:rPr>
          <w:rFonts w:ascii="Symbol" w:eastAsia="Symbol" w:hAnsi="Symbol" w:cs="Symbol"/>
          <w:color w:val="000000" w:themeColor="text1"/>
          <w:sz w:val="20"/>
        </w:rPr>
        <w:t>±</w:t>
      </w:r>
      <w:r w:rsidR="00AF43C4" w:rsidRPr="00D20C59">
        <w:rPr>
          <w:color w:val="000000" w:themeColor="text1"/>
          <w:sz w:val="20"/>
        </w:rPr>
        <w:t xml:space="preserve"> 0.18% </w:t>
      </w:r>
      <w:r>
        <w:rPr>
          <w:color w:val="000000" w:themeColor="text1"/>
          <w:sz w:val="20"/>
        </w:rPr>
        <w:t>for JN)</w:t>
      </w:r>
      <w:r w:rsidRPr="00D20C59">
        <w:rPr>
          <w:color w:val="000000" w:themeColor="text1"/>
          <w:sz w:val="20"/>
        </w:rPr>
        <w:t xml:space="preserve"> than normal saline</w:t>
      </w:r>
      <w:r>
        <w:rPr>
          <w:color w:val="000000" w:themeColor="text1"/>
          <w:sz w:val="20"/>
        </w:rPr>
        <w:t xml:space="preserve"> (</w:t>
      </w:r>
      <w:r w:rsidR="00B221F9" w:rsidRPr="00D20C59">
        <w:rPr>
          <w:color w:val="000000" w:themeColor="text1"/>
          <w:sz w:val="20"/>
        </w:rPr>
        <w:t xml:space="preserve">7.51 </w:t>
      </w:r>
      <w:r w:rsidR="00B221F9" w:rsidRPr="00D20C59">
        <w:rPr>
          <w:rFonts w:ascii="Symbol" w:eastAsia="Symbol" w:hAnsi="Symbol" w:cs="Symbol"/>
          <w:color w:val="000000" w:themeColor="text1"/>
          <w:sz w:val="20"/>
        </w:rPr>
        <w:t>±</w:t>
      </w:r>
      <w:r w:rsidR="00B221F9" w:rsidRPr="00D20C59">
        <w:rPr>
          <w:color w:val="000000" w:themeColor="text1"/>
          <w:sz w:val="20"/>
        </w:rPr>
        <w:t xml:space="preserve"> 2.01%</w:t>
      </w:r>
      <w:r w:rsidR="009F0EEF">
        <w:rPr>
          <w:color w:val="000000" w:themeColor="text1"/>
          <w:sz w:val="20"/>
        </w:rPr>
        <w:t xml:space="preserve"> </w:t>
      </w:r>
      <w:r>
        <w:rPr>
          <w:color w:val="000000" w:themeColor="text1"/>
          <w:sz w:val="20"/>
        </w:rPr>
        <w:t xml:space="preserve">for VMN; </w:t>
      </w:r>
      <w:r w:rsidR="00733C18" w:rsidRPr="00D20C59">
        <w:rPr>
          <w:color w:val="000000" w:themeColor="text1"/>
          <w:sz w:val="20"/>
        </w:rPr>
        <w:t xml:space="preserve">7.03 </w:t>
      </w:r>
      <w:r w:rsidR="00733C18" w:rsidRPr="00D20C59">
        <w:rPr>
          <w:rFonts w:ascii="Symbol" w:eastAsia="Symbol" w:hAnsi="Symbol" w:cs="Symbol"/>
          <w:color w:val="000000" w:themeColor="text1"/>
          <w:sz w:val="20"/>
        </w:rPr>
        <w:t>±</w:t>
      </w:r>
      <w:r w:rsidR="00733C18" w:rsidRPr="00D20C59">
        <w:rPr>
          <w:color w:val="000000" w:themeColor="text1"/>
          <w:sz w:val="20"/>
        </w:rPr>
        <w:t xml:space="preserve"> 2.48%</w:t>
      </w:r>
      <w:r>
        <w:rPr>
          <w:color w:val="000000" w:themeColor="text1"/>
          <w:sz w:val="20"/>
        </w:rPr>
        <w:t xml:space="preserve"> for JN)</w:t>
      </w:r>
      <w:r w:rsidRPr="00D20C59">
        <w:rPr>
          <w:color w:val="000000" w:themeColor="text1"/>
          <w:sz w:val="20"/>
        </w:rPr>
        <w:t xml:space="preserve"> for both nebulisers, suggesting that aerosol performance of nebulised probiotics may also depend on the medium in which the probiotics were suspended in. Therefore, this study demonstrated that the type of nebuliser as well as the vehicle of the probiotic suspension affected the effectiveness of nebulisation. </w:t>
      </w:r>
    </w:p>
    <w:p w14:paraId="5B327BBE" w14:textId="77777777" w:rsidR="0096375D" w:rsidRDefault="0096375D" w:rsidP="0008694E">
      <w:pPr>
        <w:pStyle w:val="DDLBodyText"/>
        <w:rPr>
          <w:color w:val="000000" w:themeColor="text1"/>
          <w:sz w:val="20"/>
        </w:rPr>
      </w:pPr>
    </w:p>
    <w:p w14:paraId="7B9C13D9" w14:textId="77777777" w:rsidR="00FF2C85" w:rsidRPr="00D20C59" w:rsidRDefault="00FF2C85" w:rsidP="00FF2C85">
      <w:pPr>
        <w:pStyle w:val="DDLBodyText"/>
        <w:rPr>
          <w:b/>
          <w:color w:val="000000" w:themeColor="text1"/>
          <w:sz w:val="20"/>
        </w:rPr>
      </w:pPr>
      <w:r w:rsidRPr="00D20C59">
        <w:rPr>
          <w:b/>
          <w:color w:val="000000" w:themeColor="text1"/>
          <w:sz w:val="20"/>
        </w:rPr>
        <w:t>Key Message</w:t>
      </w:r>
    </w:p>
    <w:p w14:paraId="2DB25DB9" w14:textId="4FB69E83" w:rsidR="00FF2C85" w:rsidRDefault="00FF2C85" w:rsidP="00FF2C85">
      <w:pPr>
        <w:pStyle w:val="DDLBodyText"/>
        <w:rPr>
          <w:rStyle w:val="Strong"/>
          <w:rFonts w:cs="Arial"/>
          <w:color w:val="000000" w:themeColor="text1"/>
          <w:sz w:val="20"/>
          <w:shd w:val="clear" w:color="auto" w:fill="FFFFFF"/>
        </w:rPr>
      </w:pPr>
      <w:r w:rsidRPr="00D20C59">
        <w:rPr>
          <w:rStyle w:val="Strong"/>
          <w:rFonts w:cs="Arial"/>
          <w:color w:val="000000" w:themeColor="text1"/>
          <w:sz w:val="20"/>
          <w:shd w:val="clear" w:color="auto" w:fill="FFFFFF"/>
        </w:rPr>
        <w:t xml:space="preserve">The type of nebuliser and the medium in which </w:t>
      </w:r>
      <w:r w:rsidRPr="00D20C59">
        <w:rPr>
          <w:rStyle w:val="Strong"/>
          <w:rFonts w:cs="Arial"/>
          <w:i/>
          <w:iCs/>
          <w:color w:val="000000" w:themeColor="text1"/>
          <w:sz w:val="20"/>
          <w:shd w:val="clear" w:color="auto" w:fill="FFFFFF"/>
        </w:rPr>
        <w:t xml:space="preserve">Lactobacillus </w:t>
      </w:r>
      <w:proofErr w:type="spellStart"/>
      <w:r w:rsidRPr="00D20C59">
        <w:rPr>
          <w:rStyle w:val="Strong"/>
          <w:rFonts w:cs="Arial"/>
          <w:i/>
          <w:iCs/>
          <w:color w:val="000000" w:themeColor="text1"/>
          <w:sz w:val="20"/>
          <w:shd w:val="clear" w:color="auto" w:fill="FFFFFF"/>
        </w:rPr>
        <w:t>rhamnosus</w:t>
      </w:r>
      <w:proofErr w:type="spellEnd"/>
      <w:r w:rsidRPr="00D20C59">
        <w:rPr>
          <w:rStyle w:val="Strong"/>
          <w:rFonts w:cs="Arial"/>
          <w:color w:val="000000" w:themeColor="text1"/>
          <w:sz w:val="20"/>
          <w:shd w:val="clear" w:color="auto" w:fill="FFFFFF"/>
        </w:rPr>
        <w:t xml:space="preserve"> GG was suspended </w:t>
      </w:r>
      <w:r w:rsidRPr="00760A13">
        <w:rPr>
          <w:rStyle w:val="Strong"/>
          <w:rFonts w:cs="Arial"/>
          <w:color w:val="000000" w:themeColor="text1"/>
          <w:sz w:val="20"/>
          <w:shd w:val="clear" w:color="auto" w:fill="FFFFFF"/>
        </w:rPr>
        <w:t xml:space="preserve">determined the effectiveness of nebulisation. </w:t>
      </w:r>
      <w:r w:rsidR="00B214B2" w:rsidRPr="00760A13">
        <w:rPr>
          <w:rStyle w:val="Strong"/>
          <w:rFonts w:cs="Arial"/>
          <w:i/>
          <w:iCs/>
          <w:color w:val="000000" w:themeColor="text1"/>
          <w:sz w:val="20"/>
          <w:shd w:val="clear" w:color="auto" w:fill="FFFFFF"/>
        </w:rPr>
        <w:t xml:space="preserve">L. </w:t>
      </w:r>
      <w:proofErr w:type="spellStart"/>
      <w:r w:rsidR="00B214B2" w:rsidRPr="00760A13">
        <w:rPr>
          <w:rStyle w:val="Strong"/>
          <w:rFonts w:cs="Arial"/>
          <w:i/>
          <w:iCs/>
          <w:color w:val="000000" w:themeColor="text1"/>
          <w:sz w:val="20"/>
          <w:shd w:val="clear" w:color="auto" w:fill="FFFFFF"/>
        </w:rPr>
        <w:t>rhamnosus</w:t>
      </w:r>
      <w:proofErr w:type="spellEnd"/>
      <w:r w:rsidR="00B214B2" w:rsidRPr="00760A13">
        <w:rPr>
          <w:rStyle w:val="Strong"/>
          <w:rFonts w:cs="Arial"/>
          <w:i/>
          <w:iCs/>
          <w:color w:val="000000" w:themeColor="text1"/>
          <w:sz w:val="20"/>
          <w:shd w:val="clear" w:color="auto" w:fill="FFFFFF"/>
        </w:rPr>
        <w:t xml:space="preserve"> GG</w:t>
      </w:r>
      <w:r w:rsidR="00B214B2" w:rsidRPr="00760A13">
        <w:rPr>
          <w:rStyle w:val="Strong"/>
          <w:rFonts w:cs="Arial"/>
          <w:color w:val="000000" w:themeColor="text1"/>
          <w:sz w:val="20"/>
          <w:shd w:val="clear" w:color="auto" w:fill="FFFFFF"/>
        </w:rPr>
        <w:t xml:space="preserve"> suspended in phosphate-buffered saline </w:t>
      </w:r>
      <w:r w:rsidR="00335FBB" w:rsidRPr="00760A13">
        <w:rPr>
          <w:rStyle w:val="Strong"/>
          <w:rFonts w:cs="Arial"/>
          <w:color w:val="000000" w:themeColor="text1"/>
          <w:sz w:val="20"/>
          <w:shd w:val="clear" w:color="auto" w:fill="FFFFFF"/>
        </w:rPr>
        <w:t xml:space="preserve">nebulised using a vibrating mesh nebuliser produced the highest output and fine particle fraction. </w:t>
      </w:r>
    </w:p>
    <w:p w14:paraId="441B3B6D" w14:textId="77777777" w:rsidR="0096375D" w:rsidRDefault="0096375D" w:rsidP="00FF2C85">
      <w:pPr>
        <w:pStyle w:val="DDLBodyText"/>
        <w:rPr>
          <w:rStyle w:val="Strong"/>
          <w:rFonts w:cs="Arial"/>
          <w:b w:val="0"/>
          <w:bCs w:val="0"/>
          <w:color w:val="000000" w:themeColor="text1"/>
          <w:sz w:val="20"/>
          <w:shd w:val="clear" w:color="auto" w:fill="FFFFFF"/>
        </w:rPr>
      </w:pPr>
    </w:p>
    <w:p w14:paraId="57DCC0F3" w14:textId="77777777" w:rsidR="00C65A37" w:rsidRPr="00582113" w:rsidRDefault="00C65A37" w:rsidP="00D156FE">
      <w:pPr>
        <w:pStyle w:val="DDLHeading1"/>
        <w:rPr>
          <w:sz w:val="20"/>
          <w:szCs w:val="20"/>
        </w:rPr>
      </w:pPr>
      <w:r w:rsidRPr="00582113">
        <w:rPr>
          <w:sz w:val="20"/>
          <w:szCs w:val="20"/>
        </w:rPr>
        <w:t>Introduction</w:t>
      </w:r>
    </w:p>
    <w:p w14:paraId="36CADFF0" w14:textId="77777777" w:rsidR="00830A3C" w:rsidRDefault="00830A3C" w:rsidP="00830A3C">
      <w:pPr>
        <w:rPr>
          <w:color w:val="000000" w:themeColor="text1"/>
          <w:sz w:val="20"/>
        </w:rPr>
      </w:pPr>
      <w:r w:rsidRPr="00D20C59">
        <w:rPr>
          <w:color w:val="000000" w:themeColor="text1"/>
          <w:sz w:val="20"/>
        </w:rPr>
        <w:t xml:space="preserve">Probiotics are microorganisms that confer health benefits. They have been widely used for maintaining gut health, but recent research has found that </w:t>
      </w:r>
      <w:r>
        <w:rPr>
          <w:color w:val="000000" w:themeColor="text1"/>
          <w:sz w:val="20"/>
        </w:rPr>
        <w:t>their</w:t>
      </w:r>
      <w:r w:rsidRPr="00D20C59">
        <w:rPr>
          <w:color w:val="000000" w:themeColor="text1"/>
          <w:sz w:val="20"/>
        </w:rPr>
        <w:t xml:space="preserve"> benefits are not only limited to the gut </w:t>
      </w:r>
      <w:r w:rsidRPr="00D20C59">
        <w:rPr>
          <w:noProof/>
          <w:color w:val="000000" w:themeColor="text1"/>
          <w:sz w:val="20"/>
        </w:rPr>
        <w:t>[1]</w:t>
      </w:r>
      <w:r w:rsidRPr="00D20C59">
        <w:rPr>
          <w:color w:val="000000" w:themeColor="text1"/>
          <w:sz w:val="20"/>
        </w:rPr>
        <w:t xml:space="preserve">. Common genera of probiotics include </w:t>
      </w:r>
      <w:r w:rsidRPr="00D20C59">
        <w:rPr>
          <w:i/>
          <w:iCs/>
          <w:color w:val="000000" w:themeColor="text1"/>
          <w:sz w:val="20"/>
        </w:rPr>
        <w:t>Lactobacillus, Bifidobacterium</w:t>
      </w:r>
      <w:r w:rsidRPr="00D20C59">
        <w:rPr>
          <w:color w:val="000000" w:themeColor="text1"/>
          <w:sz w:val="20"/>
        </w:rPr>
        <w:t xml:space="preserve">, and </w:t>
      </w:r>
      <w:proofErr w:type="spellStart"/>
      <w:r w:rsidRPr="00D20C59">
        <w:rPr>
          <w:i/>
          <w:iCs/>
          <w:color w:val="000000" w:themeColor="text1"/>
          <w:sz w:val="20"/>
        </w:rPr>
        <w:t>Strepcococcus</w:t>
      </w:r>
      <w:proofErr w:type="spellEnd"/>
      <w:r w:rsidRPr="00D20C59">
        <w:rPr>
          <w:color w:val="000000" w:themeColor="text1"/>
          <w:sz w:val="20"/>
        </w:rPr>
        <w:t xml:space="preserve"> that have been reported to impose favourable effects against upper respiratory infections (URI) in animals </w:t>
      </w:r>
      <w:r w:rsidRPr="00D20C59">
        <w:rPr>
          <w:noProof/>
          <w:color w:val="000000" w:themeColor="text1"/>
          <w:sz w:val="20"/>
        </w:rPr>
        <w:t>[2</w:t>
      </w:r>
      <w:r>
        <w:rPr>
          <w:noProof/>
          <w:color w:val="000000" w:themeColor="text1"/>
          <w:sz w:val="20"/>
        </w:rPr>
        <w:t>,3</w:t>
      </w:r>
      <w:r w:rsidRPr="00D20C59">
        <w:rPr>
          <w:noProof/>
          <w:color w:val="000000" w:themeColor="text1"/>
          <w:sz w:val="20"/>
        </w:rPr>
        <w:t>]</w:t>
      </w:r>
      <w:r w:rsidRPr="00D20C59">
        <w:rPr>
          <w:color w:val="000000" w:themeColor="text1"/>
          <w:sz w:val="20"/>
        </w:rPr>
        <w:t xml:space="preserve"> and humans </w:t>
      </w:r>
      <w:r w:rsidRPr="00D20C59">
        <w:rPr>
          <w:noProof/>
          <w:color w:val="000000" w:themeColor="text1"/>
          <w:sz w:val="20"/>
        </w:rPr>
        <w:t>[</w:t>
      </w:r>
      <w:r>
        <w:rPr>
          <w:noProof/>
          <w:color w:val="000000" w:themeColor="text1"/>
          <w:sz w:val="20"/>
        </w:rPr>
        <w:t>4,5</w:t>
      </w:r>
      <w:r w:rsidRPr="00D20C59">
        <w:rPr>
          <w:noProof/>
          <w:color w:val="000000" w:themeColor="text1"/>
          <w:sz w:val="20"/>
        </w:rPr>
        <w:t>]</w:t>
      </w:r>
      <w:r w:rsidRPr="00D20C59">
        <w:rPr>
          <w:color w:val="000000" w:themeColor="text1"/>
          <w:sz w:val="20"/>
        </w:rPr>
        <w:t xml:space="preserve">. The Cochrane systematic review concluded that there were </w:t>
      </w:r>
      <w:proofErr w:type="gramStart"/>
      <w:r w:rsidRPr="00D20C59">
        <w:rPr>
          <w:color w:val="000000" w:themeColor="text1"/>
          <w:sz w:val="20"/>
        </w:rPr>
        <w:t>moderate-certainty</w:t>
      </w:r>
      <w:proofErr w:type="gramEnd"/>
      <w:r w:rsidRPr="00D20C59">
        <w:rPr>
          <w:color w:val="000000" w:themeColor="text1"/>
          <w:sz w:val="20"/>
        </w:rPr>
        <w:t xml:space="preserve"> of evidence that oral delivery of probiotics is likely to reduce the number of participants diagnosed with URI and was likely to reduce the number of participants needing antibiotics for URI </w:t>
      </w:r>
      <w:r w:rsidRPr="00D20C59">
        <w:rPr>
          <w:noProof/>
          <w:color w:val="000000" w:themeColor="text1"/>
          <w:sz w:val="20"/>
        </w:rPr>
        <w:t>[</w:t>
      </w:r>
      <w:r>
        <w:rPr>
          <w:noProof/>
          <w:color w:val="000000" w:themeColor="text1"/>
          <w:sz w:val="20"/>
        </w:rPr>
        <w:t>6</w:t>
      </w:r>
      <w:r w:rsidRPr="00D20C59">
        <w:rPr>
          <w:noProof/>
          <w:color w:val="000000" w:themeColor="text1"/>
          <w:sz w:val="20"/>
        </w:rPr>
        <w:t>]</w:t>
      </w:r>
      <w:r w:rsidRPr="00D20C59">
        <w:rPr>
          <w:color w:val="000000" w:themeColor="text1"/>
          <w:sz w:val="20"/>
        </w:rPr>
        <w:t>. Although not highlighted, the probiotics used in the analysed stud</w:t>
      </w:r>
      <w:r>
        <w:rPr>
          <w:color w:val="000000" w:themeColor="text1"/>
          <w:sz w:val="20"/>
        </w:rPr>
        <w:t>i</w:t>
      </w:r>
      <w:r w:rsidRPr="00D20C59">
        <w:rPr>
          <w:color w:val="000000" w:themeColor="text1"/>
          <w:sz w:val="20"/>
        </w:rPr>
        <w:t>es in the systematic review [</w:t>
      </w:r>
      <w:r>
        <w:rPr>
          <w:noProof/>
          <w:color w:val="000000" w:themeColor="text1"/>
          <w:sz w:val="20"/>
        </w:rPr>
        <w:t>6</w:t>
      </w:r>
      <w:r w:rsidRPr="00D20C59">
        <w:rPr>
          <w:noProof/>
          <w:color w:val="000000" w:themeColor="text1"/>
          <w:sz w:val="20"/>
        </w:rPr>
        <w:t>]</w:t>
      </w:r>
      <w:r w:rsidRPr="00D20C59">
        <w:rPr>
          <w:color w:val="000000" w:themeColor="text1"/>
          <w:sz w:val="20"/>
        </w:rPr>
        <w:t xml:space="preserve"> were all given orally. A comparison of the oral and intranasal routes of administration in mice </w:t>
      </w:r>
      <w:r w:rsidRPr="00D20C59">
        <w:rPr>
          <w:noProof/>
          <w:color w:val="000000" w:themeColor="text1"/>
          <w:sz w:val="20"/>
        </w:rPr>
        <w:t>[2,</w:t>
      </w:r>
      <w:r>
        <w:rPr>
          <w:noProof/>
          <w:color w:val="000000" w:themeColor="text1"/>
          <w:sz w:val="20"/>
        </w:rPr>
        <w:t>3</w:t>
      </w:r>
      <w:r w:rsidRPr="00D20C59">
        <w:rPr>
          <w:noProof/>
          <w:color w:val="000000" w:themeColor="text1"/>
          <w:sz w:val="20"/>
        </w:rPr>
        <w:t>]</w:t>
      </w:r>
      <w:r w:rsidRPr="00D20C59">
        <w:rPr>
          <w:color w:val="000000" w:themeColor="text1"/>
          <w:sz w:val="20"/>
        </w:rPr>
        <w:t xml:space="preserve"> demonstrated that intranasal probiotics resulted in higher survival rates after influenza infection </w:t>
      </w:r>
      <w:r w:rsidRPr="00D20C59">
        <w:rPr>
          <w:noProof/>
          <w:color w:val="000000" w:themeColor="text1"/>
          <w:sz w:val="20"/>
        </w:rPr>
        <w:t>[2]</w:t>
      </w:r>
      <w:r w:rsidRPr="00D20C59">
        <w:rPr>
          <w:color w:val="000000" w:themeColor="text1"/>
          <w:sz w:val="20"/>
        </w:rPr>
        <w:t xml:space="preserve"> and promoted a more effective clearance of the influenza virus </w:t>
      </w:r>
      <w:r w:rsidRPr="00D20C59">
        <w:rPr>
          <w:noProof/>
          <w:color w:val="000000" w:themeColor="text1"/>
          <w:sz w:val="20"/>
        </w:rPr>
        <w:t>[</w:t>
      </w:r>
      <w:r>
        <w:rPr>
          <w:noProof/>
          <w:color w:val="000000" w:themeColor="text1"/>
          <w:sz w:val="20"/>
        </w:rPr>
        <w:t>3</w:t>
      </w:r>
      <w:r w:rsidRPr="00D20C59">
        <w:rPr>
          <w:noProof/>
          <w:color w:val="000000" w:themeColor="text1"/>
          <w:sz w:val="20"/>
        </w:rPr>
        <w:t>]</w:t>
      </w:r>
      <w:r w:rsidRPr="00D20C59">
        <w:rPr>
          <w:color w:val="000000" w:themeColor="text1"/>
          <w:sz w:val="20"/>
        </w:rPr>
        <w:t xml:space="preserve">. Direct administration into the respiratory tract is non-invasive and may produce a faster onset of therapeutic action. Despite its advantages, the respiratory route is underexplored for the administration of probiotics. Nebulisation is a method of choice for pulmonary delivery in the clinical setting as it is easy to operate, able to deliver large doses, and can be inhaled by tidal breathing. Nebulisation of biological materials such as bacteriophages showed that the choice of the nebuliser is crucial in minimising titre reduction </w:t>
      </w:r>
      <w:r w:rsidRPr="00D20C59">
        <w:rPr>
          <w:noProof/>
          <w:color w:val="000000" w:themeColor="text1"/>
          <w:sz w:val="20"/>
        </w:rPr>
        <w:t>[</w:t>
      </w:r>
      <w:r>
        <w:rPr>
          <w:noProof/>
          <w:color w:val="000000" w:themeColor="text1"/>
          <w:sz w:val="20"/>
        </w:rPr>
        <w:t>7</w:t>
      </w:r>
      <w:r w:rsidRPr="00D20C59">
        <w:rPr>
          <w:noProof/>
          <w:color w:val="000000" w:themeColor="text1"/>
          <w:sz w:val="20"/>
        </w:rPr>
        <w:t>]</w:t>
      </w:r>
      <w:r w:rsidRPr="00D20C59">
        <w:rPr>
          <w:color w:val="000000" w:themeColor="text1"/>
          <w:sz w:val="20"/>
        </w:rPr>
        <w:t xml:space="preserve">. Therefore, this study compared the effectiveness of a </w:t>
      </w:r>
      <w:r>
        <w:rPr>
          <w:color w:val="000000" w:themeColor="text1"/>
          <w:sz w:val="20"/>
        </w:rPr>
        <w:t xml:space="preserve">VMN </w:t>
      </w:r>
      <w:r w:rsidRPr="00D20C59">
        <w:rPr>
          <w:color w:val="000000" w:themeColor="text1"/>
          <w:sz w:val="20"/>
        </w:rPr>
        <w:t xml:space="preserve">and a </w:t>
      </w:r>
      <w:r>
        <w:rPr>
          <w:color w:val="000000" w:themeColor="text1"/>
          <w:sz w:val="20"/>
        </w:rPr>
        <w:t xml:space="preserve">JN </w:t>
      </w:r>
      <w:r w:rsidRPr="00D20C59">
        <w:rPr>
          <w:color w:val="000000" w:themeColor="text1"/>
          <w:sz w:val="20"/>
        </w:rPr>
        <w:t xml:space="preserve">in delivering a commonly used probiotic species, </w:t>
      </w:r>
      <w:r w:rsidRPr="00D20C59">
        <w:rPr>
          <w:i/>
          <w:iCs/>
          <w:color w:val="000000" w:themeColor="text1"/>
          <w:sz w:val="20"/>
        </w:rPr>
        <w:t xml:space="preserve">L. </w:t>
      </w:r>
      <w:proofErr w:type="spellStart"/>
      <w:r w:rsidRPr="00D20C59">
        <w:rPr>
          <w:i/>
          <w:iCs/>
          <w:color w:val="000000" w:themeColor="text1"/>
          <w:sz w:val="20"/>
        </w:rPr>
        <w:t>rhamnosus</w:t>
      </w:r>
      <w:proofErr w:type="spellEnd"/>
      <w:r w:rsidRPr="00D20C59">
        <w:rPr>
          <w:i/>
          <w:iCs/>
          <w:color w:val="000000" w:themeColor="text1"/>
          <w:sz w:val="20"/>
        </w:rPr>
        <w:t xml:space="preserve"> </w:t>
      </w:r>
      <w:r w:rsidRPr="00D20C59">
        <w:rPr>
          <w:color w:val="000000" w:themeColor="text1"/>
          <w:sz w:val="20"/>
        </w:rPr>
        <w:t>GG. This is the first published study that examined the nebulisation of a probiotic bacterium.</w:t>
      </w:r>
    </w:p>
    <w:p w14:paraId="57DCC0F5" w14:textId="116ECF2B" w:rsidR="00966CD3" w:rsidRPr="00582113" w:rsidRDefault="00966CD3" w:rsidP="00D156FE">
      <w:pPr>
        <w:pStyle w:val="DDLHeading1"/>
        <w:rPr>
          <w:sz w:val="20"/>
          <w:szCs w:val="20"/>
        </w:rPr>
      </w:pPr>
      <w:r w:rsidRPr="00582113">
        <w:rPr>
          <w:sz w:val="20"/>
          <w:szCs w:val="20"/>
        </w:rPr>
        <w:t>M</w:t>
      </w:r>
      <w:r w:rsidR="0039676A">
        <w:rPr>
          <w:sz w:val="20"/>
          <w:szCs w:val="20"/>
        </w:rPr>
        <w:t>aterials and Methods</w:t>
      </w:r>
    </w:p>
    <w:p w14:paraId="4DD7BF47" w14:textId="77777777" w:rsidR="00C25947" w:rsidRPr="00D20C59" w:rsidRDefault="00C25947" w:rsidP="00C25947">
      <w:pPr>
        <w:rPr>
          <w:i/>
          <w:iCs/>
          <w:color w:val="000000" w:themeColor="text1"/>
          <w:sz w:val="20"/>
        </w:rPr>
      </w:pPr>
      <w:r w:rsidRPr="00D20C59">
        <w:rPr>
          <w:i/>
          <w:iCs/>
          <w:color w:val="000000" w:themeColor="text1"/>
          <w:sz w:val="20"/>
        </w:rPr>
        <w:t>Probiotic Culture</w:t>
      </w:r>
    </w:p>
    <w:p w14:paraId="68D1F0BD" w14:textId="77777777" w:rsidR="00C25947" w:rsidRPr="00D20C59" w:rsidRDefault="00C25947" w:rsidP="00C25947">
      <w:pPr>
        <w:rPr>
          <w:color w:val="000000" w:themeColor="text1"/>
          <w:sz w:val="20"/>
        </w:rPr>
      </w:pPr>
      <w:r w:rsidRPr="00D20C59">
        <w:rPr>
          <w:i/>
          <w:iCs/>
          <w:color w:val="000000" w:themeColor="text1"/>
          <w:sz w:val="20"/>
        </w:rPr>
        <w:t xml:space="preserve">Lactobacillus </w:t>
      </w:r>
      <w:proofErr w:type="spellStart"/>
      <w:r w:rsidRPr="00D20C59">
        <w:rPr>
          <w:i/>
          <w:iCs/>
          <w:color w:val="000000" w:themeColor="text1"/>
          <w:sz w:val="20"/>
        </w:rPr>
        <w:t>rhamnosus</w:t>
      </w:r>
      <w:proofErr w:type="spellEnd"/>
      <w:r w:rsidRPr="00D20C59">
        <w:rPr>
          <w:color w:val="000000" w:themeColor="text1"/>
          <w:sz w:val="20"/>
        </w:rPr>
        <w:t xml:space="preserve"> GG (reference strain ATCC 53103) (LGG) suspension was prepared by incubating LGG colonies in de Man </w:t>
      </w:r>
      <w:proofErr w:type="spellStart"/>
      <w:r w:rsidRPr="00D20C59">
        <w:rPr>
          <w:color w:val="000000" w:themeColor="text1"/>
          <w:sz w:val="20"/>
        </w:rPr>
        <w:t>Rogosa</w:t>
      </w:r>
      <w:proofErr w:type="spellEnd"/>
      <w:r w:rsidRPr="00D20C59">
        <w:rPr>
          <w:color w:val="000000" w:themeColor="text1"/>
          <w:sz w:val="20"/>
        </w:rPr>
        <w:t xml:space="preserve"> Sharpe (MRS) broth at 37</w:t>
      </w:r>
      <w:r w:rsidRPr="00D20C59">
        <w:rPr>
          <w:rFonts w:ascii="Symbol" w:eastAsia="Symbol" w:hAnsi="Symbol" w:cs="Symbol"/>
          <w:color w:val="000000" w:themeColor="text1"/>
          <w:sz w:val="20"/>
        </w:rPr>
        <w:t>°</w:t>
      </w:r>
      <w:r w:rsidRPr="00D20C59">
        <w:rPr>
          <w:color w:val="000000" w:themeColor="text1"/>
          <w:sz w:val="20"/>
        </w:rPr>
        <w:t>C in 5% CO</w:t>
      </w:r>
      <w:r w:rsidRPr="00D20C59">
        <w:rPr>
          <w:color w:val="000000" w:themeColor="text1"/>
          <w:sz w:val="20"/>
        </w:rPr>
        <w:softHyphen/>
      </w:r>
      <w:r w:rsidRPr="00D20C59">
        <w:rPr>
          <w:color w:val="000000" w:themeColor="text1"/>
          <w:sz w:val="20"/>
          <w:vertAlign w:val="subscript"/>
        </w:rPr>
        <w:t>2</w:t>
      </w:r>
      <w:r w:rsidRPr="00D20C59">
        <w:rPr>
          <w:color w:val="000000" w:themeColor="text1"/>
          <w:sz w:val="20"/>
        </w:rPr>
        <w:t xml:space="preserve"> for 24-48 hours. </w:t>
      </w:r>
      <w:r w:rsidRPr="00D20C59">
        <w:rPr>
          <w:color w:val="000000" w:themeColor="text1"/>
          <w:sz w:val="20"/>
        </w:rPr>
        <w:lastRenderedPageBreak/>
        <w:t>Colony forming units (CFU)/mL was determined by counting the colonies after plating out serial dilutions of the suspension onto MRS agar plates. The suspension was then adjusted to 4 x10</w:t>
      </w:r>
      <w:r w:rsidRPr="00D20C59">
        <w:rPr>
          <w:color w:val="000000" w:themeColor="text1"/>
          <w:sz w:val="20"/>
          <w:vertAlign w:val="superscript"/>
        </w:rPr>
        <w:t>8</w:t>
      </w:r>
      <w:r w:rsidRPr="00D20C59">
        <w:rPr>
          <w:color w:val="000000" w:themeColor="text1"/>
          <w:sz w:val="20"/>
        </w:rPr>
        <w:t xml:space="preserve"> CFU/mL in phosphate-buffered saline (PBS) or normal saline (0.9% w/v sodium chloride in water) so that the nebulisation volume of 2.5 mL contained 10</w:t>
      </w:r>
      <w:r w:rsidRPr="00D20C59">
        <w:rPr>
          <w:color w:val="000000" w:themeColor="text1"/>
          <w:sz w:val="20"/>
          <w:vertAlign w:val="superscript"/>
        </w:rPr>
        <w:t>9</w:t>
      </w:r>
      <w:r w:rsidRPr="00D20C59">
        <w:rPr>
          <w:color w:val="000000" w:themeColor="text1"/>
          <w:sz w:val="20"/>
        </w:rPr>
        <w:t xml:space="preserve"> CFU of LGG.</w:t>
      </w:r>
    </w:p>
    <w:p w14:paraId="590D7CB8" w14:textId="77777777" w:rsidR="00C25947" w:rsidRPr="00D20C59" w:rsidRDefault="00C25947" w:rsidP="00C25947">
      <w:pPr>
        <w:rPr>
          <w:i/>
          <w:iCs/>
          <w:color w:val="000000" w:themeColor="text1"/>
          <w:sz w:val="20"/>
        </w:rPr>
      </w:pPr>
      <w:r w:rsidRPr="00D20C59">
        <w:rPr>
          <w:i/>
          <w:iCs/>
          <w:color w:val="000000" w:themeColor="text1"/>
          <w:sz w:val="20"/>
        </w:rPr>
        <w:t>Dose Output</w:t>
      </w:r>
    </w:p>
    <w:p w14:paraId="7576748F" w14:textId="73582E20" w:rsidR="00C25947" w:rsidRPr="0002512F" w:rsidRDefault="00C25947" w:rsidP="00C25947">
      <w:pPr>
        <w:rPr>
          <w:color w:val="000000" w:themeColor="text1"/>
          <w:sz w:val="20"/>
        </w:rPr>
      </w:pPr>
      <w:r w:rsidRPr="00D20C59">
        <w:rPr>
          <w:color w:val="000000" w:themeColor="text1"/>
          <w:sz w:val="20"/>
        </w:rPr>
        <w:t xml:space="preserve">An </w:t>
      </w:r>
      <w:proofErr w:type="spellStart"/>
      <w:r w:rsidRPr="00D20C59">
        <w:rPr>
          <w:color w:val="000000" w:themeColor="text1"/>
          <w:sz w:val="20"/>
        </w:rPr>
        <w:t>Aerogen</w:t>
      </w:r>
      <w:proofErr w:type="spellEnd"/>
      <w:r w:rsidRPr="00D20C59">
        <w:rPr>
          <w:color w:val="000000" w:themeColor="text1"/>
          <w:sz w:val="20"/>
          <w:vertAlign w:val="superscript"/>
        </w:rPr>
        <w:t>®</w:t>
      </w:r>
      <w:r w:rsidRPr="00D20C59">
        <w:rPr>
          <w:color w:val="000000" w:themeColor="text1"/>
          <w:sz w:val="20"/>
        </w:rPr>
        <w:t xml:space="preserve"> Solo nebuliser (serial number: C191059-0565, </w:t>
      </w:r>
      <w:proofErr w:type="spellStart"/>
      <w:r w:rsidRPr="00D20C59">
        <w:rPr>
          <w:color w:val="000000" w:themeColor="text1"/>
          <w:sz w:val="20"/>
        </w:rPr>
        <w:t>Aerogen</w:t>
      </w:r>
      <w:proofErr w:type="spellEnd"/>
      <w:r w:rsidRPr="00D20C59">
        <w:rPr>
          <w:color w:val="000000" w:themeColor="text1"/>
          <w:sz w:val="20"/>
        </w:rPr>
        <w:t xml:space="preserve">, Galway, Ireland) coupled to an </w:t>
      </w:r>
      <w:proofErr w:type="spellStart"/>
      <w:r w:rsidRPr="00D20C59">
        <w:rPr>
          <w:color w:val="000000" w:themeColor="text1"/>
          <w:sz w:val="20"/>
        </w:rPr>
        <w:t>Aerogen</w:t>
      </w:r>
      <w:proofErr w:type="spellEnd"/>
      <w:r w:rsidRPr="00D20C59">
        <w:rPr>
          <w:color w:val="000000" w:themeColor="text1"/>
          <w:sz w:val="20"/>
          <w:vertAlign w:val="superscript"/>
        </w:rPr>
        <w:t>®</w:t>
      </w:r>
      <w:r w:rsidRPr="00D20C59">
        <w:rPr>
          <w:color w:val="000000" w:themeColor="text1"/>
          <w:sz w:val="20"/>
        </w:rPr>
        <w:t xml:space="preserve"> Ultra aerosol chamber and a Pari LC Sprint</w:t>
      </w:r>
      <w:r w:rsidRPr="00D20C59">
        <w:rPr>
          <w:color w:val="000000" w:themeColor="text1"/>
          <w:sz w:val="20"/>
          <w:vertAlign w:val="superscript"/>
        </w:rPr>
        <w:t>®</w:t>
      </w:r>
      <w:r w:rsidRPr="00D20C59">
        <w:rPr>
          <w:color w:val="000000" w:themeColor="text1"/>
          <w:sz w:val="20"/>
        </w:rPr>
        <w:t xml:space="preserve"> jet nebuliser (Part Respiratory Equipment, Inc., Midlothian, VA, USA) coupled to a Pari Boy SX compressor (Pari GmbH, Starnberg, Germany) were used for the nebulisation experiments. The dose output of LGG suspensions from the </w:t>
      </w:r>
      <w:proofErr w:type="spellStart"/>
      <w:r w:rsidRPr="00D20C59">
        <w:rPr>
          <w:color w:val="000000" w:themeColor="text1"/>
          <w:sz w:val="20"/>
        </w:rPr>
        <w:t>Aerogen</w:t>
      </w:r>
      <w:proofErr w:type="spellEnd"/>
      <w:r w:rsidRPr="00D20C59">
        <w:rPr>
          <w:color w:val="000000" w:themeColor="text1"/>
          <w:sz w:val="20"/>
        </w:rPr>
        <w:t xml:space="preserve"> nebuliser were collected by connecting </w:t>
      </w:r>
      <w:proofErr w:type="spellStart"/>
      <w:r w:rsidRPr="00D20C59">
        <w:rPr>
          <w:color w:val="000000" w:themeColor="text1"/>
          <w:sz w:val="20"/>
        </w:rPr>
        <w:t>SureGard</w:t>
      </w:r>
      <w:proofErr w:type="spellEnd"/>
      <w:r w:rsidRPr="00D20C59">
        <w:rPr>
          <w:color w:val="000000" w:themeColor="text1"/>
          <w:sz w:val="20"/>
          <w:vertAlign w:val="superscript"/>
        </w:rPr>
        <w:t>®</w:t>
      </w:r>
      <w:r w:rsidRPr="00D20C59">
        <w:rPr>
          <w:color w:val="000000" w:themeColor="text1"/>
          <w:sz w:val="20"/>
        </w:rPr>
        <w:t xml:space="preserve"> filters (Bird Healthcare, Bayswater, VIC, Australia) as shown by Tai et al </w:t>
      </w:r>
      <w:r w:rsidRPr="00D20C59">
        <w:rPr>
          <w:noProof/>
          <w:color w:val="000000" w:themeColor="text1"/>
          <w:sz w:val="20"/>
        </w:rPr>
        <w:t>[</w:t>
      </w:r>
      <w:r>
        <w:rPr>
          <w:noProof/>
          <w:color w:val="000000" w:themeColor="text1"/>
          <w:sz w:val="20"/>
        </w:rPr>
        <w:t>8</w:t>
      </w:r>
      <w:r w:rsidRPr="00D20C59">
        <w:rPr>
          <w:noProof/>
          <w:color w:val="000000" w:themeColor="text1"/>
          <w:sz w:val="20"/>
        </w:rPr>
        <w:t>]</w:t>
      </w:r>
      <w:r w:rsidRPr="00D20C59">
        <w:rPr>
          <w:color w:val="000000" w:themeColor="text1"/>
          <w:sz w:val="20"/>
        </w:rPr>
        <w:t xml:space="preserve">. The jet nebuliser was setup in a similar way, with a filter at the exhaust, and another filter at the mouthpiece (output) connected with a silicon adaptor. The experimental procedure followed the United States Pharmacopeial (USP) method, but the filters were not changed to avoid losing the probiotic dose. A PWG-33 breathing simulator (Piston Medical, Budapest, Hungary) was connected to the output filter to produce a sinusoidal breathing pattern at 15 cycles/minute, with a 1:1 inhalation-to-exhalation ratio and a tidal volume of 500 </w:t>
      </w:r>
      <w:proofErr w:type="spellStart"/>
      <w:r w:rsidRPr="00D20C59">
        <w:rPr>
          <w:color w:val="000000" w:themeColor="text1"/>
          <w:sz w:val="20"/>
        </w:rPr>
        <w:t>mL.</w:t>
      </w:r>
      <w:proofErr w:type="spellEnd"/>
      <w:r w:rsidRPr="00D20C59">
        <w:rPr>
          <w:color w:val="000000" w:themeColor="text1"/>
          <w:sz w:val="20"/>
        </w:rPr>
        <w:t xml:space="preserve"> The output filter captured the droplets during inhalation and the exhaust filters captured them during exhalation. </w:t>
      </w:r>
      <w:r w:rsidRPr="00D20C59">
        <w:rPr>
          <w:rStyle w:val="normaltextrun"/>
          <w:rFonts w:cs="Arial"/>
          <w:color w:val="000000" w:themeColor="text1"/>
          <w:sz w:val="20"/>
          <w:shd w:val="clear" w:color="auto" w:fill="FFFFFF"/>
        </w:rPr>
        <w:t>Two and a half millilitres of the probiotic suspension were pipetted into the nebuliser. The nebuliser was then operated until no more droplets were produced from the VM</w:t>
      </w:r>
      <w:r>
        <w:rPr>
          <w:rStyle w:val="normaltextrun"/>
          <w:rFonts w:cs="Arial"/>
          <w:color w:val="000000" w:themeColor="text1"/>
          <w:sz w:val="20"/>
          <w:shd w:val="clear" w:color="auto" w:fill="FFFFFF"/>
        </w:rPr>
        <w:t>N</w:t>
      </w:r>
      <w:r w:rsidRPr="00D20C59">
        <w:rPr>
          <w:rStyle w:val="normaltextrun"/>
          <w:rFonts w:cs="Arial"/>
          <w:color w:val="000000" w:themeColor="text1"/>
          <w:sz w:val="20"/>
          <w:shd w:val="clear" w:color="auto" w:fill="FFFFFF"/>
        </w:rPr>
        <w:t xml:space="preserve"> or until sputtering from the jet nebuliser. </w:t>
      </w:r>
      <w:r w:rsidRPr="00D20C59">
        <w:rPr>
          <w:color w:val="000000" w:themeColor="text1"/>
          <w:sz w:val="20"/>
        </w:rPr>
        <w:t xml:space="preserve">The experimental setup was left to stand for 20 minutes after nebulisation was complete to allow the droplets to settle in the nebuliser and filters before dismantling the setup. </w:t>
      </w:r>
      <w:r w:rsidRPr="00D20C59">
        <w:rPr>
          <w:rStyle w:val="normaltextrun"/>
          <w:rFonts w:cs="Arial"/>
          <w:color w:val="000000" w:themeColor="text1"/>
          <w:sz w:val="20"/>
          <w:shd w:val="clear" w:color="auto" w:fill="FFFFFF"/>
        </w:rPr>
        <w:t xml:space="preserve">The openings of all filters were sealed with Parafilm after adding 10 mL of PBS. The filters were rinsed by shaking for 1 minute. The </w:t>
      </w:r>
      <w:proofErr w:type="spellStart"/>
      <w:r w:rsidRPr="00D20C59">
        <w:rPr>
          <w:rStyle w:val="normaltextrun"/>
          <w:rFonts w:cs="Arial"/>
          <w:color w:val="000000" w:themeColor="text1"/>
          <w:sz w:val="20"/>
          <w:shd w:val="clear" w:color="auto" w:fill="FFFFFF"/>
        </w:rPr>
        <w:t>Aerogen</w:t>
      </w:r>
      <w:proofErr w:type="spellEnd"/>
      <w:r w:rsidRPr="00D20C59">
        <w:rPr>
          <w:rStyle w:val="normaltextrun"/>
          <w:rFonts w:cs="Arial"/>
          <w:color w:val="000000" w:themeColor="text1"/>
          <w:sz w:val="20"/>
          <w:shd w:val="clear" w:color="auto" w:fill="FFFFFF"/>
        </w:rPr>
        <w:t xml:space="preserve"> Solo nebuliser was rinsed with PBS and the rinsing was collected and topped up in a 10 mL volumetric flask. The </w:t>
      </w:r>
      <w:proofErr w:type="spellStart"/>
      <w:r w:rsidRPr="00D20C59">
        <w:rPr>
          <w:rStyle w:val="normaltextrun"/>
          <w:rFonts w:cs="Arial"/>
          <w:color w:val="000000" w:themeColor="text1"/>
          <w:sz w:val="20"/>
          <w:shd w:val="clear" w:color="auto" w:fill="FFFFFF"/>
        </w:rPr>
        <w:t>Aerogen</w:t>
      </w:r>
      <w:proofErr w:type="spellEnd"/>
      <w:r w:rsidRPr="00D20C59">
        <w:rPr>
          <w:rStyle w:val="normaltextrun"/>
          <w:rFonts w:cs="Arial"/>
          <w:color w:val="000000" w:themeColor="text1"/>
          <w:sz w:val="20"/>
          <w:shd w:val="clear" w:color="auto" w:fill="FFFFFF"/>
        </w:rPr>
        <w:t xml:space="preserve"> Ultra aerosol chamber was rinsed by sealing the openings with Parafilm after adding approximately 10 mL of PBS. For the jet nebuliser, the Pari LC</w:t>
      </w:r>
      <w:r w:rsidR="00757773">
        <w:rPr>
          <w:rStyle w:val="normaltextrun"/>
          <w:rFonts w:cs="Arial"/>
          <w:color w:val="000000" w:themeColor="text1"/>
          <w:sz w:val="20"/>
          <w:shd w:val="clear" w:color="auto" w:fill="FFFFFF"/>
        </w:rPr>
        <w:t xml:space="preserve"> </w:t>
      </w:r>
      <w:r w:rsidRPr="00D20C59">
        <w:rPr>
          <w:rStyle w:val="normaltextrun"/>
          <w:rFonts w:cs="Arial"/>
          <w:color w:val="000000" w:themeColor="text1"/>
          <w:sz w:val="20"/>
          <w:shd w:val="clear" w:color="auto" w:fill="FFFFFF"/>
        </w:rPr>
        <w:t xml:space="preserve">Sprint nebuliser was rinsed with PBS and the rinsing was collected and topped up in a 25 mL volumetric flask. Other parts were rinsed with 10 mL of PBS. This process was repeated until the rinsing was collected and topped up in a 50 mL volumetric flask. The samples were serially diluted then plated out on MRS agar plates and incubated </w:t>
      </w:r>
      <w:r w:rsidRPr="00D20C59">
        <w:rPr>
          <w:color w:val="000000" w:themeColor="text1"/>
          <w:sz w:val="20"/>
        </w:rPr>
        <w:t>at 37</w:t>
      </w:r>
      <w:r w:rsidRPr="00D20C59">
        <w:rPr>
          <w:rFonts w:ascii="Symbol" w:eastAsia="Symbol" w:hAnsi="Symbol" w:cs="Symbol"/>
          <w:color w:val="000000" w:themeColor="text1"/>
          <w:sz w:val="20"/>
        </w:rPr>
        <w:t>°</w:t>
      </w:r>
      <w:r w:rsidRPr="00D20C59">
        <w:rPr>
          <w:color w:val="000000" w:themeColor="text1"/>
          <w:sz w:val="20"/>
        </w:rPr>
        <w:t>C in 5% CO</w:t>
      </w:r>
      <w:r w:rsidRPr="00D20C59">
        <w:rPr>
          <w:color w:val="000000" w:themeColor="text1"/>
          <w:sz w:val="20"/>
        </w:rPr>
        <w:softHyphen/>
      </w:r>
      <w:r w:rsidRPr="00D20C59">
        <w:rPr>
          <w:color w:val="000000" w:themeColor="text1"/>
          <w:sz w:val="20"/>
          <w:vertAlign w:val="subscript"/>
        </w:rPr>
        <w:t>2</w:t>
      </w:r>
      <w:r w:rsidRPr="00D20C59">
        <w:rPr>
          <w:color w:val="000000" w:themeColor="text1"/>
          <w:sz w:val="20"/>
        </w:rPr>
        <w:t xml:space="preserve"> for 24-48 hours to determine the CFU/</w:t>
      </w:r>
      <w:proofErr w:type="spellStart"/>
      <w:r w:rsidRPr="00D20C59">
        <w:rPr>
          <w:color w:val="000000" w:themeColor="text1"/>
          <w:sz w:val="20"/>
        </w:rPr>
        <w:t>mL.</w:t>
      </w:r>
      <w:proofErr w:type="spellEnd"/>
      <w:r w:rsidRPr="00D20C59">
        <w:rPr>
          <w:color w:val="000000" w:themeColor="text1"/>
          <w:sz w:val="20"/>
        </w:rPr>
        <w:t xml:space="preserve"> </w:t>
      </w:r>
    </w:p>
    <w:p w14:paraId="5C628A5C" w14:textId="77777777" w:rsidR="00C25947" w:rsidRPr="00D20C59" w:rsidRDefault="00C25947" w:rsidP="00C25947">
      <w:pPr>
        <w:spacing w:line="259" w:lineRule="auto"/>
        <w:rPr>
          <w:i/>
          <w:iCs/>
          <w:color w:val="000000" w:themeColor="text1"/>
          <w:sz w:val="20"/>
        </w:rPr>
      </w:pPr>
      <w:r w:rsidRPr="00D20C59">
        <w:rPr>
          <w:i/>
          <w:iCs/>
          <w:color w:val="000000" w:themeColor="text1"/>
          <w:sz w:val="20"/>
        </w:rPr>
        <w:t>Cascade Impaction</w:t>
      </w:r>
    </w:p>
    <w:p w14:paraId="4B62C15D" w14:textId="1DFB9D77" w:rsidR="00C25947" w:rsidRPr="00757773" w:rsidRDefault="00C25947" w:rsidP="00C25947">
      <w:pPr>
        <w:rPr>
          <w:color w:val="000000" w:themeColor="text1"/>
          <w:sz w:val="20"/>
        </w:rPr>
      </w:pPr>
      <w:r w:rsidRPr="00D20C59">
        <w:rPr>
          <w:rFonts w:cs="Arial"/>
          <w:color w:val="000000" w:themeColor="text1"/>
          <w:sz w:val="20"/>
        </w:rPr>
        <w:t xml:space="preserve">The aerosol performance of nebulised LGG was measured by the USP method using a Next Generation Impactor (NGI; USP Apparatus 5; Copley, Nottingham, UK) without a pre-separator </w:t>
      </w:r>
      <w:r w:rsidRPr="00D20C59">
        <w:rPr>
          <w:rFonts w:cs="Arial"/>
          <w:noProof/>
          <w:color w:val="000000" w:themeColor="text1"/>
          <w:sz w:val="20"/>
        </w:rPr>
        <w:t>(11)</w:t>
      </w:r>
      <w:r w:rsidRPr="00D20C59">
        <w:rPr>
          <w:rFonts w:cs="Arial"/>
          <w:color w:val="000000" w:themeColor="text1"/>
          <w:sz w:val="20"/>
        </w:rPr>
        <w:t>. The NGI and throat were cooled at 4</w:t>
      </w:r>
      <w:r w:rsidRPr="00D20C59">
        <w:rPr>
          <w:rFonts w:cs="Arial"/>
          <w:color w:val="000000" w:themeColor="text1"/>
          <w:sz w:val="20"/>
          <w:shd w:val="clear" w:color="auto" w:fill="FFFFFF"/>
        </w:rPr>
        <w:t xml:space="preserve">°C </w:t>
      </w:r>
      <w:r w:rsidRPr="00D20C59">
        <w:rPr>
          <w:rFonts w:cs="Arial"/>
          <w:color w:val="000000" w:themeColor="text1"/>
          <w:sz w:val="20"/>
        </w:rPr>
        <w:t xml:space="preserve">for at least 90 minutes </w:t>
      </w:r>
      <w:r w:rsidRPr="00D20C59">
        <w:rPr>
          <w:rFonts w:cs="Arial"/>
          <w:color w:val="000000" w:themeColor="text1"/>
          <w:sz w:val="20"/>
          <w:shd w:val="clear" w:color="auto" w:fill="FFFFFF"/>
        </w:rPr>
        <w:t xml:space="preserve">before the experiment. A </w:t>
      </w:r>
      <w:proofErr w:type="spellStart"/>
      <w:r w:rsidRPr="00D20C59">
        <w:rPr>
          <w:rFonts w:cs="Arial"/>
          <w:color w:val="000000" w:themeColor="text1"/>
          <w:sz w:val="20"/>
          <w:shd w:val="clear" w:color="auto" w:fill="FFFFFF"/>
        </w:rPr>
        <w:t>SureGard</w:t>
      </w:r>
      <w:proofErr w:type="spellEnd"/>
      <w:r w:rsidRPr="00D20C59">
        <w:rPr>
          <w:rFonts w:cs="Arial"/>
          <w:color w:val="000000" w:themeColor="text1"/>
          <w:sz w:val="20"/>
          <w:shd w:val="clear" w:color="auto" w:fill="FFFFFF"/>
        </w:rPr>
        <w:t xml:space="preserve"> filter was connected to the NGI after the micro-</w:t>
      </w:r>
      <w:r w:rsidRPr="00757773">
        <w:rPr>
          <w:rFonts w:cs="Arial"/>
          <w:color w:val="000000" w:themeColor="text1"/>
          <w:sz w:val="20"/>
          <w:shd w:val="clear" w:color="auto" w:fill="FFFFFF"/>
        </w:rPr>
        <w:t>orifice collector to capture droplets that may have passed beyond it. A vacuum leak test was performed to check the sealing of the apparatus before use.</w:t>
      </w:r>
      <w:r w:rsidRPr="00757773">
        <w:rPr>
          <w:color w:val="000000" w:themeColor="text1"/>
          <w:sz w:val="20"/>
        </w:rPr>
        <w:t xml:space="preserve"> </w:t>
      </w:r>
      <w:r w:rsidRPr="00757773">
        <w:rPr>
          <w:rStyle w:val="normaltextrun"/>
          <w:rFonts w:cs="Arial"/>
          <w:color w:val="000000" w:themeColor="text1"/>
          <w:sz w:val="20"/>
          <w:shd w:val="clear" w:color="auto" w:fill="FFFFFF"/>
        </w:rPr>
        <w:t xml:space="preserve">Two and a half millilitres of the probiotic suspension </w:t>
      </w:r>
      <w:r w:rsidR="00757773" w:rsidRPr="00757773">
        <w:rPr>
          <w:color w:val="000000" w:themeColor="text1"/>
          <w:sz w:val="20"/>
        </w:rPr>
        <w:t>were</w:t>
      </w:r>
      <w:r w:rsidRPr="00757773">
        <w:rPr>
          <w:color w:val="000000" w:themeColor="text1"/>
          <w:sz w:val="20"/>
        </w:rPr>
        <w:t xml:space="preserve"> added into the nebuliser. An airflow rate of 15 L/min through the NGI was generated by a vacuum pump. The duration of nebulisation was the same as </w:t>
      </w:r>
      <w:r w:rsidR="00064421" w:rsidRPr="00757773">
        <w:rPr>
          <w:color w:val="000000" w:themeColor="text1"/>
          <w:sz w:val="20"/>
        </w:rPr>
        <w:t xml:space="preserve">that </w:t>
      </w:r>
      <w:r w:rsidR="007E5335" w:rsidRPr="00757773">
        <w:rPr>
          <w:color w:val="000000" w:themeColor="text1"/>
          <w:sz w:val="20"/>
        </w:rPr>
        <w:t xml:space="preserve">of </w:t>
      </w:r>
      <w:r w:rsidRPr="00757773">
        <w:rPr>
          <w:color w:val="000000" w:themeColor="text1"/>
          <w:sz w:val="20"/>
        </w:rPr>
        <w:t xml:space="preserve">the dose output runs. The nebulisers were assayed using the same method as that for dose output. The throat, impactor stages, and filter were assayed with 10 mL, 4 mL, and 4 mL of PBS, respectively. The CFU/mL was determined using the same method as dose output. </w:t>
      </w:r>
    </w:p>
    <w:p w14:paraId="640EDB77" w14:textId="77777777" w:rsidR="00987AD6" w:rsidRPr="00757773" w:rsidRDefault="00987AD6" w:rsidP="00987AD6">
      <w:pPr>
        <w:pStyle w:val="DDLBodyText"/>
        <w:spacing w:before="280"/>
        <w:rPr>
          <w:b/>
          <w:bCs/>
          <w:color w:val="000000" w:themeColor="text1"/>
          <w:sz w:val="20"/>
        </w:rPr>
      </w:pPr>
      <w:r w:rsidRPr="00757773">
        <w:rPr>
          <w:b/>
          <w:bCs/>
          <w:color w:val="000000" w:themeColor="text1"/>
          <w:sz w:val="20"/>
        </w:rPr>
        <w:t>Results and Discussion</w:t>
      </w:r>
    </w:p>
    <w:p w14:paraId="290662B6" w14:textId="77777777" w:rsidR="00987AD6" w:rsidRPr="00757773" w:rsidRDefault="00987AD6" w:rsidP="00987AD6">
      <w:pPr>
        <w:spacing w:line="259" w:lineRule="auto"/>
        <w:rPr>
          <w:i/>
          <w:iCs/>
          <w:color w:val="000000" w:themeColor="text1"/>
          <w:sz w:val="20"/>
        </w:rPr>
      </w:pPr>
      <w:r w:rsidRPr="00757773">
        <w:rPr>
          <w:i/>
          <w:iCs/>
          <w:color w:val="000000" w:themeColor="text1"/>
          <w:sz w:val="20"/>
        </w:rPr>
        <w:t>Dose Output</w:t>
      </w:r>
    </w:p>
    <w:p w14:paraId="7505AAF8" w14:textId="4DA81D59" w:rsidR="00987AD6" w:rsidRPr="00D20C59" w:rsidRDefault="00987AD6" w:rsidP="00987AD6">
      <w:pPr>
        <w:spacing w:line="259" w:lineRule="auto"/>
        <w:rPr>
          <w:color w:val="000000" w:themeColor="text1"/>
          <w:sz w:val="20"/>
        </w:rPr>
      </w:pPr>
      <w:r w:rsidRPr="00757773">
        <w:rPr>
          <w:color w:val="000000" w:themeColor="text1"/>
          <w:sz w:val="20"/>
        </w:rPr>
        <w:t xml:space="preserve">The deposition of nebulised LGG in the dose output experiments differed between the two nebulisers due to structural and mechanistic differences (Figure 1). For both nebulisers, the doses collected at the exhaust filters were minimal indicating that the dose exiting the nebuliser during the exhalation cycle was very low. The aerosols released into the environment during nebulisation could be of concern especially if the duration of nebulisation is long </w:t>
      </w:r>
      <w:r w:rsidRPr="00757773">
        <w:rPr>
          <w:noProof/>
          <w:color w:val="000000" w:themeColor="text1"/>
          <w:sz w:val="20"/>
        </w:rPr>
        <w:t>[7]</w:t>
      </w:r>
      <w:r w:rsidRPr="00757773">
        <w:rPr>
          <w:color w:val="000000" w:themeColor="text1"/>
          <w:sz w:val="20"/>
        </w:rPr>
        <w:t xml:space="preserve">. In another study which nebulised </w:t>
      </w:r>
      <w:proofErr w:type="spellStart"/>
      <w:r w:rsidRPr="00757773">
        <w:rPr>
          <w:color w:val="000000" w:themeColor="text1"/>
          <w:sz w:val="20"/>
        </w:rPr>
        <w:t>albuterol</w:t>
      </w:r>
      <w:proofErr w:type="spellEnd"/>
      <w:r w:rsidRPr="00757773">
        <w:rPr>
          <w:color w:val="000000" w:themeColor="text1"/>
          <w:sz w:val="20"/>
        </w:rPr>
        <w:t xml:space="preserve"> </w:t>
      </w:r>
      <w:proofErr w:type="spellStart"/>
      <w:r w:rsidRPr="00757773">
        <w:rPr>
          <w:color w:val="000000" w:themeColor="text1"/>
          <w:sz w:val="20"/>
        </w:rPr>
        <w:t>sulfate</w:t>
      </w:r>
      <w:proofErr w:type="spellEnd"/>
      <w:r w:rsidRPr="00757773">
        <w:rPr>
          <w:color w:val="000000" w:themeColor="text1"/>
          <w:sz w:val="20"/>
        </w:rPr>
        <w:t xml:space="preserve">, the VMN achieved a higher inhaled </w:t>
      </w:r>
      <w:proofErr w:type="gramStart"/>
      <w:r w:rsidRPr="00757773">
        <w:rPr>
          <w:color w:val="000000" w:themeColor="text1"/>
          <w:sz w:val="20"/>
        </w:rPr>
        <w:t>dose</w:t>
      </w:r>
      <w:proofErr w:type="gramEnd"/>
      <w:r w:rsidRPr="00757773">
        <w:rPr>
          <w:color w:val="000000" w:themeColor="text1"/>
          <w:sz w:val="20"/>
        </w:rPr>
        <w:t xml:space="preserve"> but a lower dose released into the environment compared to the a jet nebuliser </w:t>
      </w:r>
      <w:r w:rsidRPr="00757773">
        <w:rPr>
          <w:noProof/>
          <w:color w:val="000000" w:themeColor="text1"/>
          <w:sz w:val="20"/>
        </w:rPr>
        <w:t>[7]</w:t>
      </w:r>
      <w:r w:rsidRPr="00757773">
        <w:rPr>
          <w:color w:val="000000" w:themeColor="text1"/>
          <w:sz w:val="20"/>
        </w:rPr>
        <w:t xml:space="preserve">. A similar </w:t>
      </w:r>
      <w:r w:rsidRPr="00757773">
        <w:rPr>
          <w:rFonts w:cs="Arial"/>
          <w:color w:val="000000" w:themeColor="text1"/>
          <w:sz w:val="20"/>
        </w:rPr>
        <w:t xml:space="preserve">trend was observed in this study with the exhaust filters of the VMN </w:t>
      </w:r>
      <w:r w:rsidRPr="00194E40">
        <w:rPr>
          <w:rFonts w:cs="Arial"/>
          <w:color w:val="000000" w:themeColor="text1"/>
          <w:sz w:val="20"/>
        </w:rPr>
        <w:t xml:space="preserve">collecting a lower recovered dose for both PBS and normal saline </w:t>
      </w:r>
      <w:r w:rsidR="002A67A3" w:rsidRPr="00D20C59">
        <w:rPr>
          <w:color w:val="000000" w:themeColor="text1"/>
          <w:sz w:val="20"/>
        </w:rPr>
        <w:t xml:space="preserve">(0.22 </w:t>
      </w:r>
      <w:r w:rsidR="002A67A3" w:rsidRPr="00D20C59">
        <w:rPr>
          <w:rFonts w:ascii="Symbol" w:eastAsia="Symbol" w:hAnsi="Symbol" w:cs="Symbol"/>
          <w:color w:val="000000" w:themeColor="text1"/>
          <w:sz w:val="20"/>
        </w:rPr>
        <w:t>±</w:t>
      </w:r>
      <w:r w:rsidR="002A67A3" w:rsidRPr="00D20C59">
        <w:rPr>
          <w:color w:val="000000" w:themeColor="text1"/>
          <w:sz w:val="20"/>
        </w:rPr>
        <w:t xml:space="preserve"> 0.43% and 0.33 </w:t>
      </w:r>
      <w:r w:rsidR="002A67A3" w:rsidRPr="00D20C59">
        <w:rPr>
          <w:rFonts w:ascii="Symbol" w:eastAsia="Symbol" w:hAnsi="Symbol" w:cs="Symbol"/>
          <w:color w:val="000000" w:themeColor="text1"/>
          <w:sz w:val="20"/>
        </w:rPr>
        <w:t>±</w:t>
      </w:r>
      <w:r w:rsidR="002A67A3" w:rsidRPr="00D20C59">
        <w:rPr>
          <w:color w:val="000000" w:themeColor="text1"/>
          <w:sz w:val="20"/>
        </w:rPr>
        <w:t xml:space="preserve"> 0.20%, respectively) compared to that of the jet nebuliser (13.31 </w:t>
      </w:r>
      <w:r w:rsidR="002A67A3" w:rsidRPr="00D20C59">
        <w:rPr>
          <w:rFonts w:ascii="Symbol" w:eastAsia="Symbol" w:hAnsi="Symbol" w:cs="Symbol"/>
          <w:color w:val="000000" w:themeColor="text1"/>
          <w:sz w:val="20"/>
        </w:rPr>
        <w:t>±</w:t>
      </w:r>
      <w:r w:rsidR="002A67A3" w:rsidRPr="00D20C59">
        <w:rPr>
          <w:color w:val="000000" w:themeColor="text1"/>
          <w:sz w:val="20"/>
        </w:rPr>
        <w:t xml:space="preserve"> 2.68% and 8.83 </w:t>
      </w:r>
      <w:r w:rsidR="002A67A3" w:rsidRPr="00D20C59">
        <w:rPr>
          <w:rFonts w:ascii="Symbol" w:eastAsia="Symbol" w:hAnsi="Symbol" w:cs="Symbol"/>
          <w:color w:val="000000" w:themeColor="text1"/>
          <w:sz w:val="20"/>
        </w:rPr>
        <w:t>±</w:t>
      </w:r>
      <w:r w:rsidR="002A67A3" w:rsidRPr="00D20C59">
        <w:rPr>
          <w:color w:val="000000" w:themeColor="text1"/>
          <w:sz w:val="20"/>
        </w:rPr>
        <w:t xml:space="preserve"> 1.54%, respectively). </w:t>
      </w:r>
      <w:r w:rsidRPr="00194E40">
        <w:rPr>
          <w:rFonts w:cs="Arial"/>
          <w:color w:val="000000" w:themeColor="text1"/>
          <w:sz w:val="20"/>
        </w:rPr>
        <w:t>Hence</w:t>
      </w:r>
      <w:r w:rsidRPr="00D20C59">
        <w:rPr>
          <w:color w:val="000000" w:themeColor="text1"/>
          <w:sz w:val="20"/>
        </w:rPr>
        <w:t>, the potential contamination of the environment by VM nebulised probiotics may be minimal.</w:t>
      </w:r>
      <w:r w:rsidRPr="000E59AF">
        <w:rPr>
          <w:b/>
          <w:bCs/>
          <w:noProof/>
          <w:color w:val="000000" w:themeColor="text1"/>
          <w:szCs w:val="18"/>
          <w14:ligatures w14:val="standardContextual"/>
        </w:rPr>
        <w:t xml:space="preserve"> </w:t>
      </w:r>
    </w:p>
    <w:p w14:paraId="757CD78A" w14:textId="1D54AEA2" w:rsidR="00987AD6" w:rsidRDefault="00AF4C6E" w:rsidP="00987AD6">
      <w:pPr>
        <w:spacing w:line="259" w:lineRule="auto"/>
        <w:rPr>
          <w:color w:val="000000" w:themeColor="text1"/>
          <w:sz w:val="20"/>
        </w:rPr>
      </w:pPr>
      <w:r w:rsidRPr="00D20C59">
        <w:rPr>
          <w:b/>
          <w:bCs/>
          <w:noProof/>
          <w:color w:val="000000" w:themeColor="text1"/>
          <w:szCs w:val="18"/>
          <w14:ligatures w14:val="standardContextual"/>
        </w:rPr>
        <w:lastRenderedPageBreak/>
        <w:drawing>
          <wp:inline distT="0" distB="0" distL="0" distR="0" wp14:anchorId="54BC3ABE" wp14:editId="32F54254">
            <wp:extent cx="5736527" cy="2276272"/>
            <wp:effectExtent l="0" t="0" r="4445" b="0"/>
            <wp:docPr id="403019300" name="Picture 2" descr="A comparison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019300" name="Picture 2" descr="A comparison of a graph&#10;&#10;Description automatically generated"/>
                    <pic:cNvPicPr/>
                  </pic:nvPicPr>
                  <pic:blipFill rotWithShape="1">
                    <a:blip r:embed="rId11" cstate="print">
                      <a:extLst>
                        <a:ext uri="{28A0092B-C50C-407E-A947-70E740481C1C}">
                          <a14:useLocalDpi xmlns:a14="http://schemas.microsoft.com/office/drawing/2010/main" val="0"/>
                        </a:ext>
                      </a:extLst>
                    </a:blip>
                    <a:srcRect t="6525" r="1100"/>
                    <a:stretch/>
                  </pic:blipFill>
                  <pic:spPr bwMode="auto">
                    <a:xfrm>
                      <a:off x="0" y="0"/>
                      <a:ext cx="5787870" cy="2296645"/>
                    </a:xfrm>
                    <a:prstGeom prst="rect">
                      <a:avLst/>
                    </a:prstGeom>
                    <a:ln>
                      <a:noFill/>
                    </a:ln>
                    <a:extLst>
                      <a:ext uri="{53640926-AAD7-44D8-BBD7-CCE9431645EC}">
                        <a14:shadowObscured xmlns:a14="http://schemas.microsoft.com/office/drawing/2010/main"/>
                      </a:ext>
                    </a:extLst>
                  </pic:spPr>
                </pic:pic>
              </a:graphicData>
            </a:graphic>
          </wp:inline>
        </w:drawing>
      </w:r>
    </w:p>
    <w:p w14:paraId="5165B541" w14:textId="51C449E0" w:rsidR="00987AD6" w:rsidRDefault="00987AD6" w:rsidP="00987AD6">
      <w:pPr>
        <w:spacing w:line="259" w:lineRule="auto"/>
        <w:rPr>
          <w:b/>
          <w:bCs/>
          <w:color w:val="000000" w:themeColor="text1"/>
          <w:szCs w:val="18"/>
        </w:rPr>
      </w:pPr>
      <w:r w:rsidRPr="00D20C59">
        <w:rPr>
          <w:b/>
          <w:bCs/>
          <w:color w:val="000000" w:themeColor="text1"/>
          <w:szCs w:val="18"/>
        </w:rPr>
        <w:t>Figure 1 – Deposition of nebulised LGG from the dose output experiments (</w:t>
      </w:r>
      <w:r w:rsidRPr="00D20C59">
        <w:rPr>
          <w:b/>
          <w:bCs/>
          <w:i/>
          <w:iCs/>
          <w:color w:val="000000" w:themeColor="text1"/>
          <w:szCs w:val="18"/>
        </w:rPr>
        <w:t>n</w:t>
      </w:r>
      <w:r w:rsidRPr="00D20C59">
        <w:rPr>
          <w:b/>
          <w:bCs/>
          <w:color w:val="000000" w:themeColor="text1"/>
          <w:szCs w:val="18"/>
        </w:rPr>
        <w:t xml:space="preserve"> = </w:t>
      </w:r>
      <w:bookmarkStart w:id="2" w:name="OLE_LINK1"/>
      <w:r w:rsidR="00AF4C6E">
        <w:rPr>
          <w:b/>
          <w:bCs/>
          <w:color w:val="000000" w:themeColor="text1"/>
          <w:szCs w:val="18"/>
        </w:rPr>
        <w:t>2</w:t>
      </w:r>
      <w:r>
        <w:rPr>
          <w:b/>
          <w:bCs/>
          <w:color w:val="000000" w:themeColor="text1"/>
          <w:szCs w:val="18"/>
        </w:rPr>
        <w:t xml:space="preserve"> </w:t>
      </w:r>
      <w:r>
        <w:rPr>
          <w:rFonts w:cs="Arial"/>
          <w:b/>
          <w:bCs/>
          <w:color w:val="000000" w:themeColor="text1"/>
          <w:szCs w:val="18"/>
        </w:rPr>
        <w:t>±</w:t>
      </w:r>
      <w:r>
        <w:rPr>
          <w:b/>
          <w:bCs/>
          <w:color w:val="000000" w:themeColor="text1"/>
          <w:szCs w:val="18"/>
        </w:rPr>
        <w:t xml:space="preserve"> </w:t>
      </w:r>
      <w:bookmarkEnd w:id="2"/>
      <w:r w:rsidR="008D702C">
        <w:rPr>
          <w:b/>
          <w:bCs/>
          <w:color w:val="000000" w:themeColor="text1"/>
          <w:szCs w:val="18"/>
        </w:rPr>
        <w:t>standard error</w:t>
      </w:r>
      <w:r w:rsidRPr="00D20C59">
        <w:rPr>
          <w:b/>
          <w:bCs/>
          <w:color w:val="000000" w:themeColor="text1"/>
          <w:szCs w:val="18"/>
        </w:rPr>
        <w:t>).</w:t>
      </w:r>
    </w:p>
    <w:p w14:paraId="45E75CA6" w14:textId="77777777" w:rsidR="00987AD6" w:rsidRPr="00D20C59" w:rsidRDefault="00987AD6" w:rsidP="00987AD6">
      <w:pPr>
        <w:spacing w:line="259" w:lineRule="auto"/>
        <w:rPr>
          <w:color w:val="000000" w:themeColor="text1"/>
          <w:sz w:val="20"/>
        </w:rPr>
      </w:pPr>
    </w:p>
    <w:p w14:paraId="66B9CDD4" w14:textId="3AC7E697" w:rsidR="00987AD6" w:rsidRDefault="00987AD6" w:rsidP="00987AD6">
      <w:pPr>
        <w:spacing w:line="259" w:lineRule="auto"/>
        <w:rPr>
          <w:color w:val="000000" w:themeColor="text1"/>
          <w:sz w:val="20"/>
        </w:rPr>
      </w:pPr>
      <w:r w:rsidRPr="00D20C59">
        <w:rPr>
          <w:color w:val="000000" w:themeColor="text1"/>
          <w:sz w:val="20"/>
        </w:rPr>
        <w:t>For the VM</w:t>
      </w:r>
      <w:r>
        <w:rPr>
          <w:color w:val="000000" w:themeColor="text1"/>
          <w:sz w:val="20"/>
        </w:rPr>
        <w:t>N</w:t>
      </w:r>
      <w:r w:rsidRPr="00D20C59">
        <w:rPr>
          <w:color w:val="000000" w:themeColor="text1"/>
          <w:sz w:val="20"/>
        </w:rPr>
        <w:t xml:space="preserve">, </w:t>
      </w:r>
      <w:proofErr w:type="gramStart"/>
      <w:r w:rsidRPr="00D20C59">
        <w:rPr>
          <w:color w:val="000000" w:themeColor="text1"/>
          <w:sz w:val="20"/>
        </w:rPr>
        <w:t>the majority of</w:t>
      </w:r>
      <w:proofErr w:type="gramEnd"/>
      <w:r w:rsidRPr="00D20C59">
        <w:rPr>
          <w:color w:val="000000" w:themeColor="text1"/>
          <w:sz w:val="20"/>
        </w:rPr>
        <w:t xml:space="preserve"> the dose was collected in the output filter and </w:t>
      </w:r>
      <w:proofErr w:type="spellStart"/>
      <w:r w:rsidRPr="00D20C59">
        <w:rPr>
          <w:color w:val="000000" w:themeColor="text1"/>
          <w:sz w:val="20"/>
        </w:rPr>
        <w:t>Aerogen</w:t>
      </w:r>
      <w:proofErr w:type="spellEnd"/>
      <w:r w:rsidRPr="00D20C59">
        <w:rPr>
          <w:color w:val="000000" w:themeColor="text1"/>
          <w:sz w:val="20"/>
          <w:vertAlign w:val="superscript"/>
        </w:rPr>
        <w:t>®</w:t>
      </w:r>
      <w:r w:rsidRPr="00D20C59">
        <w:rPr>
          <w:color w:val="000000" w:themeColor="text1"/>
          <w:sz w:val="20"/>
        </w:rPr>
        <w:t xml:space="preserve"> Ultra aerosol chamber, similar to the findings by Tai et al </w:t>
      </w:r>
      <w:r w:rsidRPr="00D20C59">
        <w:rPr>
          <w:noProof/>
          <w:color w:val="000000" w:themeColor="text1"/>
          <w:sz w:val="20"/>
        </w:rPr>
        <w:t>[</w:t>
      </w:r>
      <w:r>
        <w:rPr>
          <w:noProof/>
          <w:color w:val="000000" w:themeColor="text1"/>
          <w:sz w:val="20"/>
        </w:rPr>
        <w:t>8</w:t>
      </w:r>
      <w:r w:rsidRPr="00D20C59">
        <w:rPr>
          <w:noProof/>
          <w:color w:val="000000" w:themeColor="text1"/>
          <w:sz w:val="20"/>
        </w:rPr>
        <w:t>]</w:t>
      </w:r>
      <w:r w:rsidRPr="00D20C59">
        <w:rPr>
          <w:color w:val="000000" w:themeColor="text1"/>
          <w:sz w:val="20"/>
        </w:rPr>
        <w:t>. Between the nebulisers, the VM</w:t>
      </w:r>
      <w:r>
        <w:rPr>
          <w:color w:val="000000" w:themeColor="text1"/>
          <w:sz w:val="20"/>
        </w:rPr>
        <w:t>N</w:t>
      </w:r>
      <w:r w:rsidRPr="00D20C59">
        <w:rPr>
          <w:color w:val="000000" w:themeColor="text1"/>
          <w:sz w:val="20"/>
        </w:rPr>
        <w:t xml:space="preserve"> produced a higher output for both PBS and normal saline. A similar observation was reported in </w:t>
      </w:r>
      <w:proofErr w:type="spellStart"/>
      <w:r w:rsidRPr="00D20C59">
        <w:rPr>
          <w:color w:val="000000" w:themeColor="text1"/>
          <w:sz w:val="20"/>
        </w:rPr>
        <w:t>Carrigy</w:t>
      </w:r>
      <w:proofErr w:type="spellEnd"/>
      <w:r w:rsidRPr="00D20C59">
        <w:rPr>
          <w:color w:val="000000" w:themeColor="text1"/>
          <w:sz w:val="20"/>
        </w:rPr>
        <w:t xml:space="preserve"> et al. [</w:t>
      </w:r>
      <w:r>
        <w:rPr>
          <w:color w:val="000000" w:themeColor="text1"/>
          <w:sz w:val="20"/>
        </w:rPr>
        <w:t>7</w:t>
      </w:r>
      <w:r w:rsidRPr="00D20C59">
        <w:rPr>
          <w:color w:val="000000" w:themeColor="text1"/>
          <w:sz w:val="20"/>
        </w:rPr>
        <w:t xml:space="preserve">], where the delivered dose with respect to the loaded dose of VM nebulised bacteriophage D29 in isotonic saline was higher than that by jet </w:t>
      </w:r>
      <w:r w:rsidRPr="00194E40">
        <w:rPr>
          <w:color w:val="000000" w:themeColor="text1"/>
          <w:sz w:val="20"/>
        </w:rPr>
        <w:t>nebulisation (39.7% vs 0.012%).</w:t>
      </w:r>
      <w:r w:rsidRPr="00D20C59">
        <w:rPr>
          <w:color w:val="000000" w:themeColor="text1"/>
          <w:sz w:val="20"/>
        </w:rPr>
        <w:t xml:space="preserve"> </w:t>
      </w:r>
      <w:r>
        <w:rPr>
          <w:color w:val="000000" w:themeColor="text1"/>
          <w:sz w:val="20"/>
        </w:rPr>
        <w:t>JN</w:t>
      </w:r>
      <w:r w:rsidRPr="00D20C59">
        <w:rPr>
          <w:color w:val="000000" w:themeColor="text1"/>
          <w:sz w:val="20"/>
        </w:rPr>
        <w:t xml:space="preserve"> produce droplets using pressurised air. The smaller droplets between 1-5 </w:t>
      </w:r>
      <w:r w:rsidRPr="00D20C59">
        <w:rPr>
          <w:rFonts w:cs="Arial"/>
          <w:color w:val="000000" w:themeColor="text1"/>
          <w:sz w:val="20"/>
        </w:rPr>
        <w:t>µ</w:t>
      </w:r>
      <w:r w:rsidRPr="00D20C59">
        <w:rPr>
          <w:color w:val="000000" w:themeColor="text1"/>
          <w:sz w:val="20"/>
        </w:rPr>
        <w:t xml:space="preserve">m are emitted and inhaled but the larger droplets impact onto the baffle in the nebuliser and are recycled </w:t>
      </w:r>
      <w:r w:rsidRPr="00D20C59">
        <w:rPr>
          <w:noProof/>
          <w:color w:val="000000" w:themeColor="text1"/>
          <w:sz w:val="20"/>
        </w:rPr>
        <w:t>[1</w:t>
      </w:r>
      <w:r>
        <w:rPr>
          <w:noProof/>
          <w:color w:val="000000" w:themeColor="text1"/>
          <w:sz w:val="20"/>
        </w:rPr>
        <w:t>0</w:t>
      </w:r>
      <w:r w:rsidRPr="00D20C59">
        <w:rPr>
          <w:noProof/>
          <w:color w:val="000000" w:themeColor="text1"/>
          <w:sz w:val="20"/>
        </w:rPr>
        <w:t>]</w:t>
      </w:r>
      <w:r w:rsidRPr="00D20C59">
        <w:rPr>
          <w:color w:val="000000" w:themeColor="text1"/>
          <w:sz w:val="20"/>
        </w:rPr>
        <w:t xml:space="preserve">. The constant impaction and shear impart physical stress to the bacteriophages, leading to structural changes that markedly decreased the viable bacteriophage output </w:t>
      </w:r>
      <w:r w:rsidRPr="00D20C59">
        <w:rPr>
          <w:noProof/>
          <w:color w:val="000000" w:themeColor="text1"/>
          <w:sz w:val="20"/>
        </w:rPr>
        <w:t>[</w:t>
      </w:r>
      <w:r>
        <w:rPr>
          <w:noProof/>
          <w:color w:val="000000" w:themeColor="text1"/>
          <w:sz w:val="20"/>
        </w:rPr>
        <w:t>7</w:t>
      </w:r>
      <w:r w:rsidRPr="00D20C59">
        <w:rPr>
          <w:noProof/>
          <w:color w:val="000000" w:themeColor="text1"/>
          <w:sz w:val="20"/>
        </w:rPr>
        <w:t>]</w:t>
      </w:r>
      <w:r w:rsidRPr="00D20C59">
        <w:rPr>
          <w:color w:val="000000" w:themeColor="text1"/>
          <w:sz w:val="20"/>
        </w:rPr>
        <w:t xml:space="preserve">. As probiotics are also microbes, the shearing stress can negatively affect the titre or even result in changes to its biological function. </w:t>
      </w:r>
      <w:r w:rsidR="00CF1F73" w:rsidRPr="00D20C59">
        <w:rPr>
          <w:color w:val="000000" w:themeColor="text1"/>
          <w:sz w:val="20"/>
        </w:rPr>
        <w:t xml:space="preserve">In fact, the recovery of LGG in normal saline decreased after nebulisation, with the jet nebuliser at 73.33 </w:t>
      </w:r>
      <w:r w:rsidR="00CF1F73" w:rsidRPr="00D20C59">
        <w:rPr>
          <w:rFonts w:ascii="Symbol" w:eastAsia="Symbol" w:hAnsi="Symbol" w:cs="Symbol"/>
          <w:color w:val="000000" w:themeColor="text1"/>
          <w:sz w:val="20"/>
        </w:rPr>
        <w:t>±</w:t>
      </w:r>
      <w:r w:rsidR="00CF1F73" w:rsidRPr="00D20C59">
        <w:rPr>
          <w:color w:val="000000" w:themeColor="text1"/>
          <w:sz w:val="20"/>
        </w:rPr>
        <w:t xml:space="preserve"> 2.48% and VM nebuliser at 87.71 </w:t>
      </w:r>
      <w:r w:rsidR="00CF1F73" w:rsidRPr="00D20C59">
        <w:rPr>
          <w:rFonts w:ascii="Symbol" w:eastAsia="Symbol" w:hAnsi="Symbol" w:cs="Symbol"/>
          <w:color w:val="000000" w:themeColor="text1"/>
          <w:sz w:val="20"/>
        </w:rPr>
        <w:t>±</w:t>
      </w:r>
      <w:r w:rsidR="00CF1F73" w:rsidRPr="00D20C59">
        <w:rPr>
          <w:color w:val="000000" w:themeColor="text1"/>
          <w:sz w:val="20"/>
        </w:rPr>
        <w:t xml:space="preserve"> 9.42%. Interestingly, when LGG was suspended in PBS, the recovered dose was higher than the loaded dose for both nebulisers (VM nebuliser 193.37 </w:t>
      </w:r>
      <w:r w:rsidR="00CF1F73" w:rsidRPr="00D20C59">
        <w:rPr>
          <w:rFonts w:ascii="Symbol" w:eastAsia="Symbol" w:hAnsi="Symbol" w:cs="Symbol"/>
          <w:color w:val="000000" w:themeColor="text1"/>
          <w:sz w:val="20"/>
        </w:rPr>
        <w:t>±</w:t>
      </w:r>
      <w:r w:rsidR="00CF1F73" w:rsidRPr="00D20C59">
        <w:rPr>
          <w:color w:val="000000" w:themeColor="text1"/>
          <w:sz w:val="20"/>
        </w:rPr>
        <w:t xml:space="preserve"> 15.53%; jet nebuliser 112.96 </w:t>
      </w:r>
      <w:r w:rsidR="00CF1F73" w:rsidRPr="00D20C59">
        <w:rPr>
          <w:rFonts w:ascii="Symbol" w:eastAsia="Symbol" w:hAnsi="Symbol" w:cs="Symbol"/>
          <w:color w:val="000000" w:themeColor="text1"/>
          <w:sz w:val="20"/>
        </w:rPr>
        <w:t>±</w:t>
      </w:r>
      <w:r w:rsidR="00CF1F73" w:rsidRPr="00D20C59">
        <w:rPr>
          <w:color w:val="000000" w:themeColor="text1"/>
          <w:sz w:val="20"/>
        </w:rPr>
        <w:t xml:space="preserve"> 12.29%)</w:t>
      </w:r>
      <w:r w:rsidRPr="003522BD">
        <w:rPr>
          <w:color w:val="000000" w:themeColor="text1"/>
          <w:sz w:val="20"/>
        </w:rPr>
        <w:t>. A similar</w:t>
      </w:r>
      <w:r w:rsidRPr="00D20C59">
        <w:rPr>
          <w:color w:val="000000" w:themeColor="text1"/>
          <w:sz w:val="20"/>
        </w:rPr>
        <w:t xml:space="preserve"> observation was reported by Su et al. </w:t>
      </w:r>
      <w:r w:rsidRPr="00D20C59">
        <w:rPr>
          <w:noProof/>
          <w:color w:val="000000" w:themeColor="text1"/>
          <w:sz w:val="20"/>
        </w:rPr>
        <w:t>[1</w:t>
      </w:r>
      <w:r>
        <w:rPr>
          <w:noProof/>
          <w:color w:val="000000" w:themeColor="text1"/>
          <w:sz w:val="20"/>
        </w:rPr>
        <w:t>1</w:t>
      </w:r>
      <w:r w:rsidRPr="00D20C59">
        <w:rPr>
          <w:noProof/>
          <w:color w:val="000000" w:themeColor="text1"/>
          <w:sz w:val="20"/>
        </w:rPr>
        <w:t>]</w:t>
      </w:r>
      <w:r w:rsidRPr="00D20C59">
        <w:rPr>
          <w:color w:val="000000" w:themeColor="text1"/>
          <w:sz w:val="20"/>
        </w:rPr>
        <w:t xml:space="preserve"> as the viability of LGG increased to approximately 135% after atomisation during spray-drying. Although it is yet to be confirmed, the chain arrangement between </w:t>
      </w:r>
      <w:r w:rsidRPr="00D20C59">
        <w:rPr>
          <w:i/>
          <w:iCs/>
          <w:color w:val="000000" w:themeColor="text1"/>
          <w:sz w:val="20"/>
        </w:rPr>
        <w:t>Lactobacilli</w:t>
      </w:r>
      <w:r w:rsidRPr="00D20C59">
        <w:rPr>
          <w:color w:val="000000" w:themeColor="text1"/>
          <w:sz w:val="20"/>
        </w:rPr>
        <w:t xml:space="preserve"> bacterial cells may have been disturbed by nebulisation, resulting in a higher CFU/</w:t>
      </w:r>
      <w:proofErr w:type="spellStart"/>
      <w:r w:rsidRPr="00D20C59">
        <w:rPr>
          <w:color w:val="000000" w:themeColor="text1"/>
          <w:sz w:val="20"/>
        </w:rPr>
        <w:t>mL.</w:t>
      </w:r>
      <w:proofErr w:type="spellEnd"/>
      <w:r w:rsidRPr="00D20C59">
        <w:rPr>
          <w:color w:val="000000" w:themeColor="text1"/>
          <w:sz w:val="20"/>
        </w:rPr>
        <w:t xml:space="preserve"> Furthermore, LGG, being a Gram-positive bacterium, may be more stable in PBS than normal saline as Gram-positive species had higher survivability in PBS than in sterile water over 4 weeks </w:t>
      </w:r>
      <w:r w:rsidRPr="00D20C59">
        <w:rPr>
          <w:noProof/>
          <w:color w:val="000000" w:themeColor="text1"/>
          <w:sz w:val="20"/>
        </w:rPr>
        <w:t>[1</w:t>
      </w:r>
      <w:r>
        <w:rPr>
          <w:noProof/>
          <w:color w:val="000000" w:themeColor="text1"/>
          <w:sz w:val="20"/>
        </w:rPr>
        <w:t>2</w:t>
      </w:r>
      <w:r w:rsidRPr="00D20C59">
        <w:rPr>
          <w:noProof/>
          <w:color w:val="000000" w:themeColor="text1"/>
          <w:sz w:val="20"/>
        </w:rPr>
        <w:t>]</w:t>
      </w:r>
      <w:r w:rsidRPr="00D20C59">
        <w:rPr>
          <w:color w:val="000000" w:themeColor="text1"/>
          <w:sz w:val="20"/>
        </w:rPr>
        <w:t>. Consequently, the output of LGG suspended PBS was higher than that in normal saline (Figure 1).</w:t>
      </w:r>
    </w:p>
    <w:p w14:paraId="5307BBF3" w14:textId="77777777" w:rsidR="00407192" w:rsidRDefault="00407192" w:rsidP="00987AD6">
      <w:pPr>
        <w:spacing w:line="259" w:lineRule="auto"/>
        <w:rPr>
          <w:color w:val="000000" w:themeColor="text1"/>
          <w:sz w:val="20"/>
        </w:rPr>
      </w:pPr>
    </w:p>
    <w:p w14:paraId="011A213A" w14:textId="4421F27A" w:rsidR="00987AD6" w:rsidRPr="00407192" w:rsidRDefault="00A5103F" w:rsidP="00987AD6">
      <w:pPr>
        <w:spacing w:before="280" w:line="259" w:lineRule="auto"/>
      </w:pPr>
      <w:r w:rsidRPr="00D20C59">
        <w:rPr>
          <w:b/>
          <w:bCs/>
          <w:noProof/>
          <w:color w:val="000000" w:themeColor="text1"/>
          <w:sz w:val="20"/>
        </w:rPr>
        <w:drawing>
          <wp:inline distT="0" distB="0" distL="0" distR="0" wp14:anchorId="345DC4C5" wp14:editId="64FABD9E">
            <wp:extent cx="5760720" cy="2085250"/>
            <wp:effectExtent l="0" t="0" r="0" b="0"/>
            <wp:docPr id="477904961" name="Picture 1" descr="A graph of a person's bod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904961" name="Picture 1" descr="A graph of a person's body&#10;&#10;Description automatically generated"/>
                    <pic:cNvPicPr/>
                  </pic:nvPicPr>
                  <pic:blipFill rotWithShape="1">
                    <a:blip r:embed="rId12"/>
                    <a:srcRect l="1590" b="594"/>
                    <a:stretch/>
                  </pic:blipFill>
                  <pic:spPr bwMode="auto">
                    <a:xfrm>
                      <a:off x="0" y="0"/>
                      <a:ext cx="5760720" cy="2085250"/>
                    </a:xfrm>
                    <a:prstGeom prst="rect">
                      <a:avLst/>
                    </a:prstGeom>
                    <a:ln>
                      <a:noFill/>
                    </a:ln>
                    <a:extLst>
                      <a:ext uri="{53640926-AAD7-44D8-BBD7-CCE9431645EC}">
                        <a14:shadowObscured xmlns:a14="http://schemas.microsoft.com/office/drawing/2010/main"/>
                      </a:ext>
                    </a:extLst>
                  </pic:spPr>
                </pic:pic>
              </a:graphicData>
            </a:graphic>
          </wp:inline>
        </w:drawing>
      </w:r>
    </w:p>
    <w:p w14:paraId="62794E10" w14:textId="1D754996" w:rsidR="00987AD6" w:rsidRPr="000E38DE" w:rsidRDefault="00987AD6" w:rsidP="00987AD6">
      <w:pPr>
        <w:pStyle w:val="DDLFigure"/>
        <w:ind w:left="0"/>
        <w:rPr>
          <w:b/>
          <w:bCs/>
          <w:color w:val="000000" w:themeColor="text1"/>
          <w:szCs w:val="18"/>
        </w:rPr>
      </w:pPr>
      <w:r w:rsidRPr="00D20C59">
        <w:rPr>
          <w:b/>
          <w:bCs/>
          <w:color w:val="000000" w:themeColor="text1"/>
          <w:szCs w:val="18"/>
        </w:rPr>
        <w:t>Figure 2 – Deposition of nebulised LGG from the cascade impaction experiments (</w:t>
      </w:r>
      <w:r w:rsidRPr="00D20C59">
        <w:rPr>
          <w:b/>
          <w:bCs/>
          <w:i/>
          <w:iCs/>
          <w:color w:val="000000" w:themeColor="text1"/>
          <w:szCs w:val="18"/>
        </w:rPr>
        <w:t>n</w:t>
      </w:r>
      <w:r w:rsidRPr="00D20C59">
        <w:rPr>
          <w:b/>
          <w:bCs/>
          <w:color w:val="000000" w:themeColor="text1"/>
          <w:szCs w:val="18"/>
        </w:rPr>
        <w:t xml:space="preserve"> = </w:t>
      </w:r>
      <w:r w:rsidR="008D702C">
        <w:rPr>
          <w:b/>
          <w:bCs/>
          <w:color w:val="000000" w:themeColor="text1"/>
          <w:szCs w:val="18"/>
        </w:rPr>
        <w:t>2</w:t>
      </w:r>
      <w:r>
        <w:rPr>
          <w:b/>
          <w:bCs/>
          <w:color w:val="000000" w:themeColor="text1"/>
          <w:szCs w:val="18"/>
        </w:rPr>
        <w:t xml:space="preserve"> </w:t>
      </w:r>
      <w:r>
        <w:rPr>
          <w:rFonts w:cs="Arial"/>
          <w:b/>
          <w:bCs/>
          <w:color w:val="000000" w:themeColor="text1"/>
          <w:szCs w:val="18"/>
        </w:rPr>
        <w:t>±</w:t>
      </w:r>
      <w:r>
        <w:rPr>
          <w:b/>
          <w:bCs/>
          <w:color w:val="000000" w:themeColor="text1"/>
          <w:szCs w:val="18"/>
        </w:rPr>
        <w:t xml:space="preserve"> standard </w:t>
      </w:r>
      <w:r w:rsidR="008D702C">
        <w:rPr>
          <w:b/>
          <w:bCs/>
          <w:color w:val="000000" w:themeColor="text1"/>
          <w:szCs w:val="18"/>
        </w:rPr>
        <w:t>error</w:t>
      </w:r>
      <w:r w:rsidRPr="00D20C59">
        <w:rPr>
          <w:b/>
          <w:bCs/>
          <w:color w:val="000000" w:themeColor="text1"/>
          <w:szCs w:val="18"/>
        </w:rPr>
        <w:t>).</w:t>
      </w:r>
    </w:p>
    <w:p w14:paraId="62B4AB28" w14:textId="77777777" w:rsidR="00987AD6" w:rsidRDefault="00987AD6" w:rsidP="00987AD6">
      <w:pPr>
        <w:spacing w:line="259" w:lineRule="auto"/>
        <w:rPr>
          <w:i/>
          <w:iCs/>
          <w:color w:val="000000" w:themeColor="text1"/>
          <w:sz w:val="20"/>
        </w:rPr>
      </w:pPr>
    </w:p>
    <w:p w14:paraId="324920DA" w14:textId="77777777" w:rsidR="00407192" w:rsidRDefault="00407192" w:rsidP="00987AD6">
      <w:pPr>
        <w:spacing w:line="259" w:lineRule="auto"/>
        <w:rPr>
          <w:i/>
          <w:iCs/>
          <w:color w:val="000000" w:themeColor="text1"/>
          <w:sz w:val="20"/>
        </w:rPr>
      </w:pPr>
    </w:p>
    <w:p w14:paraId="4816FFB0" w14:textId="77777777" w:rsidR="00987AD6" w:rsidRPr="00D20C59" w:rsidRDefault="00987AD6" w:rsidP="00987AD6">
      <w:pPr>
        <w:spacing w:line="259" w:lineRule="auto"/>
        <w:rPr>
          <w:i/>
          <w:iCs/>
          <w:color w:val="000000" w:themeColor="text1"/>
          <w:sz w:val="20"/>
        </w:rPr>
      </w:pPr>
      <w:r w:rsidRPr="00D20C59">
        <w:rPr>
          <w:i/>
          <w:iCs/>
          <w:color w:val="000000" w:themeColor="text1"/>
          <w:sz w:val="20"/>
        </w:rPr>
        <w:lastRenderedPageBreak/>
        <w:t>Cascade Impaction</w:t>
      </w:r>
    </w:p>
    <w:p w14:paraId="355BDAD4" w14:textId="6DD55F33" w:rsidR="00987AD6" w:rsidRDefault="00987AD6" w:rsidP="00987AD6">
      <w:pPr>
        <w:spacing w:line="259" w:lineRule="auto"/>
        <w:rPr>
          <w:color w:val="000000" w:themeColor="text1"/>
          <w:sz w:val="20"/>
        </w:rPr>
      </w:pPr>
      <w:proofErr w:type="gramStart"/>
      <w:r w:rsidRPr="00D20C59">
        <w:rPr>
          <w:color w:val="000000" w:themeColor="text1"/>
          <w:sz w:val="20"/>
        </w:rPr>
        <w:t>Similar to</w:t>
      </w:r>
      <w:proofErr w:type="gramEnd"/>
      <w:r w:rsidRPr="00D20C59">
        <w:rPr>
          <w:color w:val="000000" w:themeColor="text1"/>
          <w:sz w:val="20"/>
        </w:rPr>
        <w:t xml:space="preserve"> the distribution of nebulised probiotics in the dose output runs, the majority of the dose was recovered in the aerosol chamber of the VM</w:t>
      </w:r>
      <w:r>
        <w:rPr>
          <w:color w:val="000000" w:themeColor="text1"/>
          <w:sz w:val="20"/>
        </w:rPr>
        <w:t>N</w:t>
      </w:r>
      <w:r w:rsidRPr="00D20C59">
        <w:rPr>
          <w:color w:val="000000" w:themeColor="text1"/>
          <w:sz w:val="20"/>
        </w:rPr>
        <w:t xml:space="preserve"> and the nebuliser of the </w:t>
      </w:r>
      <w:r>
        <w:rPr>
          <w:color w:val="000000" w:themeColor="text1"/>
          <w:sz w:val="20"/>
        </w:rPr>
        <w:t>JN</w:t>
      </w:r>
      <w:r w:rsidR="00757773">
        <w:rPr>
          <w:color w:val="000000" w:themeColor="text1"/>
          <w:sz w:val="20"/>
        </w:rPr>
        <w:t xml:space="preserve"> </w:t>
      </w:r>
      <w:r w:rsidRPr="00D20C59">
        <w:rPr>
          <w:color w:val="000000" w:themeColor="text1"/>
          <w:sz w:val="20"/>
        </w:rPr>
        <w:t xml:space="preserve">(Figure 2). The VM nebulised </w:t>
      </w:r>
      <w:r w:rsidRPr="00CC46BC">
        <w:rPr>
          <w:color w:val="000000" w:themeColor="text1"/>
          <w:sz w:val="20"/>
        </w:rPr>
        <w:t xml:space="preserve">fine particle fraction (FPF) &lt; 5 </w:t>
      </w:r>
      <w:r w:rsidRPr="00CC46BC">
        <w:rPr>
          <w:rFonts w:cs="Arial"/>
          <w:color w:val="000000" w:themeColor="text1"/>
          <w:sz w:val="20"/>
        </w:rPr>
        <w:t xml:space="preserve">µm </w:t>
      </w:r>
      <w:r w:rsidRPr="00CC46BC">
        <w:rPr>
          <w:color w:val="000000" w:themeColor="text1"/>
          <w:sz w:val="20"/>
        </w:rPr>
        <w:t>for PBS was higher than that for normal saline</w:t>
      </w:r>
      <w:r w:rsidR="00757773">
        <w:rPr>
          <w:color w:val="000000" w:themeColor="text1"/>
          <w:sz w:val="20"/>
        </w:rPr>
        <w:t xml:space="preserve"> </w:t>
      </w:r>
      <w:r w:rsidR="000A256B" w:rsidRPr="00D20C59">
        <w:rPr>
          <w:color w:val="000000" w:themeColor="text1"/>
          <w:sz w:val="20"/>
        </w:rPr>
        <w:t xml:space="preserve">(12.95 </w:t>
      </w:r>
      <w:r w:rsidR="000A256B" w:rsidRPr="00D20C59">
        <w:rPr>
          <w:rFonts w:ascii="Symbol" w:eastAsia="Symbol" w:hAnsi="Symbol" w:cs="Symbol"/>
          <w:color w:val="000000" w:themeColor="text1"/>
          <w:sz w:val="20"/>
        </w:rPr>
        <w:t>±</w:t>
      </w:r>
      <w:r w:rsidR="000A256B" w:rsidRPr="00D20C59">
        <w:rPr>
          <w:color w:val="000000" w:themeColor="text1"/>
          <w:sz w:val="20"/>
        </w:rPr>
        <w:t xml:space="preserve"> 0.96% vs 7.51 </w:t>
      </w:r>
      <w:r w:rsidR="000A256B" w:rsidRPr="00D20C59">
        <w:rPr>
          <w:rFonts w:ascii="Symbol" w:eastAsia="Symbol" w:hAnsi="Symbol" w:cs="Symbol"/>
          <w:color w:val="000000" w:themeColor="text1"/>
          <w:sz w:val="20"/>
        </w:rPr>
        <w:t>±</w:t>
      </w:r>
      <w:r w:rsidR="000A256B" w:rsidRPr="00D20C59">
        <w:rPr>
          <w:color w:val="000000" w:themeColor="text1"/>
          <w:sz w:val="20"/>
        </w:rPr>
        <w:t xml:space="preserve"> 2.01%). The same trend was observed in the jet nebulised FPF for PBS and normal saline (11.21 </w:t>
      </w:r>
      <w:r w:rsidR="000A256B" w:rsidRPr="00D20C59">
        <w:rPr>
          <w:rFonts w:ascii="Symbol" w:eastAsia="Symbol" w:hAnsi="Symbol" w:cs="Symbol"/>
          <w:color w:val="000000" w:themeColor="text1"/>
          <w:sz w:val="20"/>
        </w:rPr>
        <w:t>±</w:t>
      </w:r>
      <w:r w:rsidR="000A256B" w:rsidRPr="00D20C59">
        <w:rPr>
          <w:color w:val="000000" w:themeColor="text1"/>
          <w:sz w:val="20"/>
        </w:rPr>
        <w:t xml:space="preserve"> 0.18% vs 7.03 </w:t>
      </w:r>
      <w:r w:rsidR="000A256B" w:rsidRPr="00D20C59">
        <w:rPr>
          <w:rFonts w:ascii="Symbol" w:eastAsia="Symbol" w:hAnsi="Symbol" w:cs="Symbol"/>
          <w:color w:val="000000" w:themeColor="text1"/>
          <w:sz w:val="20"/>
        </w:rPr>
        <w:t>±</w:t>
      </w:r>
      <w:r w:rsidR="000A256B" w:rsidRPr="00D20C59">
        <w:rPr>
          <w:color w:val="000000" w:themeColor="text1"/>
          <w:sz w:val="20"/>
        </w:rPr>
        <w:t xml:space="preserve"> 2.48%)</w:t>
      </w:r>
      <w:r w:rsidRPr="00CC46BC">
        <w:rPr>
          <w:color w:val="000000" w:themeColor="text1"/>
          <w:sz w:val="20"/>
        </w:rPr>
        <w:t>.</w:t>
      </w:r>
      <w:r w:rsidRPr="00D20C59">
        <w:rPr>
          <w:color w:val="000000" w:themeColor="text1"/>
          <w:sz w:val="20"/>
        </w:rPr>
        <w:t xml:space="preserve"> These FPFs were lower than those of nebulised bacteriophages despite being nebulised by the same nebulisers as those in the current study</w:t>
      </w:r>
      <w:r w:rsidRPr="00D20C59">
        <w:rPr>
          <w:noProof/>
          <w:color w:val="000000" w:themeColor="text1"/>
          <w:sz w:val="20"/>
        </w:rPr>
        <w:t xml:space="preserve"> [1</w:t>
      </w:r>
      <w:r>
        <w:rPr>
          <w:noProof/>
          <w:color w:val="000000" w:themeColor="text1"/>
          <w:sz w:val="20"/>
        </w:rPr>
        <w:t>3</w:t>
      </w:r>
      <w:r w:rsidRPr="00D20C59">
        <w:rPr>
          <w:noProof/>
          <w:color w:val="000000" w:themeColor="text1"/>
          <w:sz w:val="20"/>
        </w:rPr>
        <w:t>]</w:t>
      </w:r>
      <w:r w:rsidRPr="00D20C59">
        <w:rPr>
          <w:color w:val="000000" w:themeColor="text1"/>
          <w:sz w:val="20"/>
        </w:rPr>
        <w:t xml:space="preserve">. The reason for the low FPFs of LGG was due to </w:t>
      </w:r>
      <w:proofErr w:type="gramStart"/>
      <w:r w:rsidRPr="00D20C59">
        <w:rPr>
          <w:color w:val="000000" w:themeColor="text1"/>
          <w:sz w:val="20"/>
        </w:rPr>
        <w:t>the majority of</w:t>
      </w:r>
      <w:proofErr w:type="gramEnd"/>
      <w:r w:rsidRPr="00D20C59">
        <w:rPr>
          <w:color w:val="000000" w:themeColor="text1"/>
          <w:sz w:val="20"/>
        </w:rPr>
        <w:t xml:space="preserve"> the dose being retained in the aerosol chamber of the VM</w:t>
      </w:r>
      <w:r>
        <w:rPr>
          <w:color w:val="000000" w:themeColor="text1"/>
          <w:sz w:val="20"/>
        </w:rPr>
        <w:t>N</w:t>
      </w:r>
      <w:r w:rsidRPr="00D20C59">
        <w:rPr>
          <w:color w:val="000000" w:themeColor="text1"/>
          <w:sz w:val="20"/>
        </w:rPr>
        <w:t xml:space="preserve">. This may be due to the mass of </w:t>
      </w:r>
      <w:r w:rsidRPr="00D20C59">
        <w:rPr>
          <w:i/>
          <w:iCs/>
          <w:color w:val="000000" w:themeColor="text1"/>
          <w:sz w:val="20"/>
        </w:rPr>
        <w:t>Lactobacilli</w:t>
      </w:r>
      <w:r w:rsidRPr="00D20C59">
        <w:rPr>
          <w:color w:val="000000" w:themeColor="text1"/>
          <w:sz w:val="20"/>
        </w:rPr>
        <w:t xml:space="preserve"> bacterial cells being 10 to 100 times higher than that of a bacteriophage. Hence, despite the vacuum pump, the weight of the nebulised probiotic droplet may have been too heavy and became trapped in the body due to gravity. However, a FPF of 10% of the loaded dose (10</w:t>
      </w:r>
      <w:r w:rsidRPr="00D20C59">
        <w:rPr>
          <w:color w:val="000000" w:themeColor="text1"/>
          <w:sz w:val="20"/>
          <w:vertAlign w:val="superscript"/>
        </w:rPr>
        <w:t>9</w:t>
      </w:r>
      <w:r w:rsidRPr="00D20C59">
        <w:rPr>
          <w:color w:val="000000" w:themeColor="text1"/>
          <w:sz w:val="20"/>
        </w:rPr>
        <w:t xml:space="preserve"> CFU) is equivalent to a fine particle dose of 10</w:t>
      </w:r>
      <w:r w:rsidRPr="00D20C59">
        <w:rPr>
          <w:color w:val="000000" w:themeColor="text1"/>
          <w:sz w:val="20"/>
          <w:vertAlign w:val="superscript"/>
        </w:rPr>
        <w:t>8</w:t>
      </w:r>
      <w:r w:rsidRPr="00D20C59">
        <w:rPr>
          <w:color w:val="000000" w:themeColor="text1"/>
          <w:sz w:val="20"/>
        </w:rPr>
        <w:t xml:space="preserve"> CFU, which is within the dose range commonly used in animal studies on intranasal probiotics against URIs </w:t>
      </w:r>
      <w:r w:rsidRPr="00D20C59">
        <w:rPr>
          <w:noProof/>
          <w:color w:val="000000" w:themeColor="text1"/>
          <w:sz w:val="20"/>
        </w:rPr>
        <w:t>[2</w:t>
      </w:r>
      <w:r>
        <w:rPr>
          <w:noProof/>
          <w:color w:val="000000" w:themeColor="text1"/>
          <w:sz w:val="20"/>
        </w:rPr>
        <w:t>,3</w:t>
      </w:r>
      <w:r w:rsidRPr="00D20C59">
        <w:rPr>
          <w:noProof/>
          <w:color w:val="000000" w:themeColor="text1"/>
          <w:sz w:val="20"/>
        </w:rPr>
        <w:t>]</w:t>
      </w:r>
      <w:r w:rsidRPr="00D20C59">
        <w:rPr>
          <w:color w:val="000000" w:themeColor="text1"/>
          <w:sz w:val="20"/>
        </w:rPr>
        <w:t>. Therefore, the nebulised dose output and aerosol performance achieved in the current study are still relevant.</w:t>
      </w:r>
    </w:p>
    <w:p w14:paraId="1FE6D354" w14:textId="77777777" w:rsidR="00987AD6" w:rsidRDefault="00987AD6" w:rsidP="00987AD6">
      <w:pPr>
        <w:spacing w:before="280" w:line="259" w:lineRule="auto"/>
        <w:rPr>
          <w:b/>
          <w:bCs/>
          <w:color w:val="000000" w:themeColor="text1"/>
          <w:sz w:val="20"/>
        </w:rPr>
      </w:pPr>
      <w:r w:rsidRPr="00D20C59">
        <w:rPr>
          <w:b/>
          <w:bCs/>
          <w:color w:val="000000" w:themeColor="text1"/>
          <w:sz w:val="20"/>
        </w:rPr>
        <w:t>Conclusion</w:t>
      </w:r>
    </w:p>
    <w:p w14:paraId="2076C046" w14:textId="77777777" w:rsidR="008509DD" w:rsidRPr="00D20C59" w:rsidRDefault="008509DD" w:rsidP="008509DD">
      <w:pPr>
        <w:spacing w:line="259" w:lineRule="auto"/>
        <w:rPr>
          <w:color w:val="000000" w:themeColor="text1"/>
          <w:sz w:val="20"/>
        </w:rPr>
      </w:pPr>
      <w:r>
        <w:rPr>
          <w:color w:val="000000" w:themeColor="text1"/>
          <w:sz w:val="20"/>
        </w:rPr>
        <w:t>T</w:t>
      </w:r>
      <w:r w:rsidRPr="00D20C59">
        <w:rPr>
          <w:color w:val="000000" w:themeColor="text1"/>
          <w:sz w:val="20"/>
        </w:rPr>
        <w:t>he effectiveness of nebulisation</w:t>
      </w:r>
      <w:r>
        <w:rPr>
          <w:color w:val="000000" w:themeColor="text1"/>
          <w:sz w:val="20"/>
        </w:rPr>
        <w:t xml:space="preserve"> of probiotics</w:t>
      </w:r>
      <w:r w:rsidRPr="00D20C59">
        <w:rPr>
          <w:color w:val="000000" w:themeColor="text1"/>
          <w:sz w:val="20"/>
        </w:rPr>
        <w:t xml:space="preserve"> depended on the nebuliser type as the VM</w:t>
      </w:r>
      <w:r>
        <w:rPr>
          <w:color w:val="000000" w:themeColor="text1"/>
          <w:sz w:val="20"/>
        </w:rPr>
        <w:t>N</w:t>
      </w:r>
      <w:r w:rsidRPr="00D20C59">
        <w:rPr>
          <w:color w:val="000000" w:themeColor="text1"/>
          <w:sz w:val="20"/>
        </w:rPr>
        <w:t xml:space="preserve"> produced a higher dose output than the </w:t>
      </w:r>
      <w:r>
        <w:rPr>
          <w:color w:val="000000" w:themeColor="text1"/>
          <w:sz w:val="20"/>
        </w:rPr>
        <w:t>JN</w:t>
      </w:r>
      <w:r w:rsidRPr="00D20C59">
        <w:rPr>
          <w:color w:val="000000" w:themeColor="text1"/>
          <w:sz w:val="20"/>
        </w:rPr>
        <w:t>. Additionally, LGG in PBS resulted in higher FPFs than those in normal saline, suggesting that the probiotic medium also affected the effectiveness of nebulisation.</w:t>
      </w:r>
    </w:p>
    <w:p w14:paraId="474A8B92" w14:textId="77777777" w:rsidR="00987AD6" w:rsidRPr="00D20C59" w:rsidRDefault="00987AD6" w:rsidP="00987AD6">
      <w:pPr>
        <w:spacing w:before="280" w:line="259" w:lineRule="auto"/>
        <w:rPr>
          <w:b/>
          <w:bCs/>
          <w:color w:val="000000" w:themeColor="text1"/>
          <w:sz w:val="20"/>
        </w:rPr>
      </w:pPr>
    </w:p>
    <w:p w14:paraId="37752EB4" w14:textId="5E52BD71" w:rsidR="00233EFA" w:rsidRPr="00233EFA" w:rsidRDefault="007D307A" w:rsidP="00233EFA">
      <w:pPr>
        <w:pStyle w:val="DDLHeading1"/>
        <w:jc w:val="left"/>
        <w:rPr>
          <w:color w:val="000000" w:themeColor="text1"/>
          <w:szCs w:val="18"/>
        </w:rPr>
      </w:pPr>
      <w:r w:rsidRPr="00233EFA">
        <w:rPr>
          <w:szCs w:val="18"/>
        </w:rPr>
        <w:t>Refer</w:t>
      </w:r>
      <w:r w:rsidR="00233EFA" w:rsidRPr="00233EFA">
        <w:rPr>
          <w:color w:val="000000" w:themeColor="text1"/>
          <w:szCs w:val="18"/>
        </w:rPr>
        <w:t>ences</w:t>
      </w:r>
    </w:p>
    <w:p w14:paraId="258D8662" w14:textId="77777777" w:rsidR="00233EFA" w:rsidRPr="00D20C59" w:rsidRDefault="00233EFA" w:rsidP="00233EFA">
      <w:pPr>
        <w:pStyle w:val="DDLBodyText"/>
        <w:ind w:left="284" w:hanging="284"/>
        <w:jc w:val="left"/>
        <w:rPr>
          <w:noProof/>
          <w:color w:val="000000" w:themeColor="text1"/>
          <w:sz w:val="16"/>
          <w:szCs w:val="16"/>
        </w:rPr>
      </w:pPr>
      <w:r w:rsidRPr="00D20C59">
        <w:rPr>
          <w:color w:val="000000" w:themeColor="text1"/>
        </w:rPr>
        <w:t>[1]</w:t>
      </w:r>
      <w:r w:rsidRPr="00D20C59">
        <w:rPr>
          <w:color w:val="000000" w:themeColor="text1"/>
        </w:rPr>
        <w:tab/>
      </w:r>
      <w:r w:rsidRPr="00D20C59">
        <w:rPr>
          <w:noProof/>
          <w:color w:val="000000" w:themeColor="text1"/>
          <w:sz w:val="16"/>
          <w:szCs w:val="16"/>
        </w:rPr>
        <w:t>Markowiak P, Slizewska K: Effects of probiotics, prebiotics and synbiotics on human health, Nutrients 2017; 9: 9: pp 1021.</w:t>
      </w:r>
    </w:p>
    <w:p w14:paraId="41693305" w14:textId="77777777" w:rsidR="00233EFA" w:rsidRPr="00D20C59" w:rsidRDefault="00233EFA" w:rsidP="00233EFA">
      <w:pPr>
        <w:pStyle w:val="DDLBodyText"/>
        <w:ind w:left="284" w:hanging="284"/>
        <w:jc w:val="left"/>
        <w:rPr>
          <w:noProof/>
          <w:color w:val="000000" w:themeColor="text1"/>
          <w:sz w:val="16"/>
          <w:szCs w:val="16"/>
        </w:rPr>
      </w:pPr>
      <w:r w:rsidRPr="00D20C59">
        <w:rPr>
          <w:noProof/>
          <w:color w:val="000000" w:themeColor="text1"/>
          <w:sz w:val="16"/>
          <w:szCs w:val="16"/>
        </w:rPr>
        <w:t>[2]</w:t>
      </w:r>
      <w:r w:rsidRPr="00D20C59">
        <w:rPr>
          <w:noProof/>
          <w:color w:val="000000" w:themeColor="text1"/>
          <w:sz w:val="16"/>
          <w:szCs w:val="16"/>
        </w:rPr>
        <w:tab/>
        <w:t xml:space="preserve">Youn H, Lee D, Lee Y, Park J, Yuk S, Yang S, Lee H, Woo S, Kim H, Lee J, Park S, Choi I, Song C: Intranasal administration of live </w:t>
      </w:r>
      <w:r w:rsidRPr="00D20C59">
        <w:rPr>
          <w:i/>
          <w:noProof/>
          <w:color w:val="000000" w:themeColor="text1"/>
          <w:sz w:val="16"/>
          <w:szCs w:val="16"/>
        </w:rPr>
        <w:t xml:space="preserve">Lactobacillus </w:t>
      </w:r>
      <w:r w:rsidRPr="00D20C59">
        <w:rPr>
          <w:noProof/>
          <w:color w:val="000000" w:themeColor="text1"/>
          <w:sz w:val="16"/>
          <w:szCs w:val="16"/>
        </w:rPr>
        <w:t>species facilitates protection against influenza virus infections in mice, Antivir Res 2012; 93: 1: pp 138-43.</w:t>
      </w:r>
    </w:p>
    <w:p w14:paraId="7BD72359" w14:textId="77777777" w:rsidR="00233EFA" w:rsidRPr="00D20C59" w:rsidRDefault="00233EFA" w:rsidP="00233EFA">
      <w:pPr>
        <w:pStyle w:val="DDLBodyText"/>
        <w:ind w:left="284" w:hanging="284"/>
        <w:jc w:val="left"/>
        <w:rPr>
          <w:noProof/>
          <w:color w:val="000000" w:themeColor="text1"/>
          <w:sz w:val="16"/>
          <w:szCs w:val="16"/>
        </w:rPr>
      </w:pPr>
      <w:r w:rsidRPr="00D20C59">
        <w:rPr>
          <w:noProof/>
          <w:color w:val="000000" w:themeColor="text1"/>
          <w:sz w:val="16"/>
          <w:szCs w:val="16"/>
        </w:rPr>
        <w:t>[</w:t>
      </w:r>
      <w:r>
        <w:rPr>
          <w:noProof/>
          <w:color w:val="000000" w:themeColor="text1"/>
          <w:sz w:val="16"/>
          <w:szCs w:val="16"/>
        </w:rPr>
        <w:t>3</w:t>
      </w:r>
      <w:r w:rsidRPr="00D20C59">
        <w:rPr>
          <w:noProof/>
          <w:color w:val="000000" w:themeColor="text1"/>
          <w:sz w:val="16"/>
          <w:szCs w:val="16"/>
        </w:rPr>
        <w:t>]</w:t>
      </w:r>
      <w:r w:rsidRPr="00D20C59">
        <w:rPr>
          <w:noProof/>
          <w:color w:val="000000" w:themeColor="text1"/>
          <w:sz w:val="16"/>
          <w:szCs w:val="16"/>
        </w:rPr>
        <w:tab/>
        <w:t xml:space="preserve">Park M, Ngo V, Kwon Y, Lee Y, Yoo S, Cho Y, Hong S, Hwang H, Ko E, Jung Y, Moon D, Jeong E, Kim M, Lee Y, Jang J, Oh J, Kim C, Kang S: </w:t>
      </w:r>
      <w:r w:rsidRPr="00D20C59">
        <w:rPr>
          <w:i/>
          <w:noProof/>
          <w:color w:val="000000" w:themeColor="text1"/>
          <w:sz w:val="16"/>
          <w:szCs w:val="16"/>
        </w:rPr>
        <w:t xml:space="preserve">Lactobacillus </w:t>
      </w:r>
      <w:r w:rsidRPr="00D20C59">
        <w:rPr>
          <w:rFonts w:cs="Arial"/>
          <w:i/>
          <w:noProof/>
          <w:color w:val="000000" w:themeColor="text1"/>
          <w:sz w:val="16"/>
          <w:szCs w:val="16"/>
        </w:rPr>
        <w:t xml:space="preserve">plantarum </w:t>
      </w:r>
      <w:r w:rsidRPr="00D20C59">
        <w:rPr>
          <w:rFonts w:cs="Arial"/>
          <w:noProof/>
          <w:color w:val="000000" w:themeColor="text1"/>
          <w:sz w:val="16"/>
          <w:szCs w:val="16"/>
        </w:rPr>
        <w:t xml:space="preserve">DK119 as a probiotic confers protection against influenza virus by modulating innnate immunity, PLoS ONE 2013; 8: 10: e75368; DOI: </w:t>
      </w:r>
      <w:hyperlink r:id="rId13" w:history="1">
        <w:r w:rsidRPr="00D20C59">
          <w:rPr>
            <w:rFonts w:eastAsiaTheme="minorEastAsia" w:cs="Arial"/>
            <w:color w:val="000000" w:themeColor="text1"/>
            <w:sz w:val="16"/>
            <w:szCs w:val="16"/>
            <w:lang w:eastAsia="ko-KR"/>
            <w14:ligatures w14:val="standardContextual"/>
          </w:rPr>
          <w:t>10.1371/journal.pone.0075368</w:t>
        </w:r>
      </w:hyperlink>
      <w:r w:rsidRPr="00D20C59">
        <w:rPr>
          <w:rFonts w:cs="Arial"/>
          <w:noProof/>
          <w:color w:val="000000" w:themeColor="text1"/>
          <w:sz w:val="16"/>
          <w:szCs w:val="16"/>
        </w:rPr>
        <w:t xml:space="preserve"> (online</w:t>
      </w:r>
      <w:r w:rsidRPr="00D20C59">
        <w:rPr>
          <w:noProof/>
          <w:color w:val="000000" w:themeColor="text1"/>
          <w:sz w:val="16"/>
          <w:szCs w:val="16"/>
        </w:rPr>
        <w:t xml:space="preserve"> only)</w:t>
      </w:r>
    </w:p>
    <w:p w14:paraId="07741A0D" w14:textId="77777777" w:rsidR="00233EFA" w:rsidRPr="00D20C59" w:rsidRDefault="00233EFA" w:rsidP="00233EFA">
      <w:pPr>
        <w:pStyle w:val="DDLBodyText"/>
        <w:ind w:left="284" w:hanging="284"/>
        <w:jc w:val="left"/>
        <w:rPr>
          <w:noProof/>
          <w:color w:val="000000" w:themeColor="text1"/>
          <w:sz w:val="16"/>
          <w:szCs w:val="16"/>
        </w:rPr>
      </w:pPr>
      <w:r w:rsidRPr="00D20C59">
        <w:rPr>
          <w:noProof/>
          <w:color w:val="000000" w:themeColor="text1"/>
          <w:sz w:val="16"/>
          <w:szCs w:val="16"/>
        </w:rPr>
        <w:t>[</w:t>
      </w:r>
      <w:r>
        <w:rPr>
          <w:noProof/>
          <w:color w:val="000000" w:themeColor="text1"/>
          <w:sz w:val="16"/>
          <w:szCs w:val="16"/>
        </w:rPr>
        <w:t>4</w:t>
      </w:r>
      <w:r w:rsidRPr="00D20C59">
        <w:rPr>
          <w:noProof/>
          <w:color w:val="000000" w:themeColor="text1"/>
          <w:sz w:val="16"/>
          <w:szCs w:val="16"/>
        </w:rPr>
        <w:t>]</w:t>
      </w:r>
      <w:r w:rsidRPr="00D20C59">
        <w:rPr>
          <w:noProof/>
          <w:color w:val="000000" w:themeColor="text1"/>
          <w:sz w:val="16"/>
          <w:szCs w:val="16"/>
        </w:rPr>
        <w:tab/>
        <w:t xml:space="preserve">Tran D, Tran T, Phung T, Bui H, Nguyen P, Vu T, Ngo T, Nguyen M, Nguyen A, Nguyen A: Nasal-spraying </w:t>
      </w:r>
      <w:r w:rsidRPr="00D20C59">
        <w:rPr>
          <w:i/>
          <w:noProof/>
          <w:color w:val="000000" w:themeColor="text1"/>
          <w:sz w:val="16"/>
          <w:szCs w:val="16"/>
        </w:rPr>
        <w:t xml:space="preserve">Bacillus </w:t>
      </w:r>
      <w:r w:rsidRPr="00D20C59">
        <w:rPr>
          <w:noProof/>
          <w:color w:val="000000" w:themeColor="text1"/>
          <w:sz w:val="16"/>
          <w:szCs w:val="16"/>
        </w:rPr>
        <w:t>spores as an effective symptomatic treatment for children with acute respiratory syncytial virus infection, Sci Rep 2022; 12: pp 12402.</w:t>
      </w:r>
    </w:p>
    <w:p w14:paraId="0C181CFF" w14:textId="77777777" w:rsidR="00233EFA" w:rsidRPr="00D20C59" w:rsidRDefault="00233EFA" w:rsidP="00233EFA">
      <w:pPr>
        <w:pStyle w:val="DDLBodyText"/>
        <w:ind w:left="284" w:hanging="284"/>
        <w:jc w:val="left"/>
        <w:rPr>
          <w:noProof/>
          <w:color w:val="000000" w:themeColor="text1"/>
          <w:sz w:val="16"/>
          <w:szCs w:val="16"/>
        </w:rPr>
      </w:pPr>
      <w:r w:rsidRPr="00D20C59">
        <w:rPr>
          <w:noProof/>
          <w:color w:val="000000" w:themeColor="text1"/>
          <w:sz w:val="16"/>
          <w:szCs w:val="16"/>
        </w:rPr>
        <w:t>[</w:t>
      </w:r>
      <w:r>
        <w:rPr>
          <w:noProof/>
          <w:color w:val="000000" w:themeColor="text1"/>
          <w:sz w:val="16"/>
          <w:szCs w:val="16"/>
        </w:rPr>
        <w:t>5</w:t>
      </w:r>
      <w:r w:rsidRPr="00D20C59">
        <w:rPr>
          <w:noProof/>
          <w:color w:val="000000" w:themeColor="text1"/>
          <w:sz w:val="16"/>
          <w:szCs w:val="16"/>
        </w:rPr>
        <w:t>]</w:t>
      </w:r>
      <w:r w:rsidRPr="00D20C59">
        <w:rPr>
          <w:noProof/>
          <w:color w:val="000000" w:themeColor="text1"/>
          <w:sz w:val="16"/>
          <w:szCs w:val="16"/>
        </w:rPr>
        <w:tab/>
        <w:t>Lee C, Choi Y, Seo S, Kim S, Kim I, Kim S, Lee S, Lee S: Addition of probiotics to antibiotics improves the clinical course of pneumonia in young people without comorbidities: a randomised controlled trial, Sci Rep 2021; 11: pp 926.</w:t>
      </w:r>
    </w:p>
    <w:p w14:paraId="141D25ED" w14:textId="77777777" w:rsidR="00233EFA" w:rsidRPr="00D20C59" w:rsidRDefault="00233EFA" w:rsidP="00233EFA">
      <w:pPr>
        <w:pStyle w:val="DDLBodyText"/>
        <w:ind w:left="284" w:hanging="284"/>
        <w:jc w:val="left"/>
        <w:rPr>
          <w:rFonts w:eastAsiaTheme="minorEastAsia" w:cs="Arial"/>
          <w:color w:val="000000" w:themeColor="text1"/>
          <w:sz w:val="16"/>
          <w:szCs w:val="16"/>
          <w:lang w:eastAsia="ko-KR"/>
          <w14:ligatures w14:val="standardContextual"/>
        </w:rPr>
      </w:pPr>
      <w:r w:rsidRPr="00D20C59">
        <w:rPr>
          <w:noProof/>
          <w:color w:val="000000" w:themeColor="text1"/>
          <w:sz w:val="16"/>
          <w:szCs w:val="16"/>
        </w:rPr>
        <w:t>[</w:t>
      </w:r>
      <w:r>
        <w:rPr>
          <w:noProof/>
          <w:color w:val="000000" w:themeColor="text1"/>
          <w:sz w:val="16"/>
          <w:szCs w:val="16"/>
        </w:rPr>
        <w:t>6</w:t>
      </w:r>
      <w:r w:rsidRPr="00D20C59">
        <w:rPr>
          <w:noProof/>
          <w:color w:val="000000" w:themeColor="text1"/>
          <w:sz w:val="16"/>
          <w:szCs w:val="16"/>
        </w:rPr>
        <w:t>]</w:t>
      </w:r>
      <w:r w:rsidRPr="00D20C59">
        <w:rPr>
          <w:noProof/>
          <w:color w:val="000000" w:themeColor="text1"/>
          <w:sz w:val="16"/>
          <w:szCs w:val="16"/>
        </w:rPr>
        <w:tab/>
        <w:t xml:space="preserve">Zhao Y, Dong B, Hao Q: Probiotics for preventing acute upper respiratory tract infection, Cochrane Database Syst Rev, 2022; 8: CD006895; </w:t>
      </w:r>
      <w:r w:rsidRPr="00D20C59">
        <w:rPr>
          <w:rFonts w:cs="Arial"/>
          <w:noProof/>
          <w:color w:val="000000" w:themeColor="text1"/>
          <w:sz w:val="16"/>
          <w:szCs w:val="16"/>
        </w:rPr>
        <w:t>DOI: 1</w:t>
      </w:r>
      <w:r w:rsidRPr="00D20C59">
        <w:rPr>
          <w:rFonts w:eastAsiaTheme="minorEastAsia" w:cs="Arial"/>
          <w:color w:val="000000" w:themeColor="text1"/>
          <w:sz w:val="16"/>
          <w:szCs w:val="16"/>
          <w:lang w:eastAsia="ko-KR"/>
          <w14:ligatures w14:val="standardContextual"/>
        </w:rPr>
        <w:t xml:space="preserve"> 0.1002/14651858.CD006895.pub4 (online only). </w:t>
      </w:r>
    </w:p>
    <w:p w14:paraId="3D44ACEB" w14:textId="77777777" w:rsidR="00233EFA" w:rsidRPr="00D20C59" w:rsidRDefault="00233EFA" w:rsidP="00233EFA">
      <w:pPr>
        <w:pStyle w:val="DDLBodyText"/>
        <w:ind w:left="284" w:hanging="284"/>
        <w:jc w:val="left"/>
        <w:rPr>
          <w:noProof/>
          <w:color w:val="000000" w:themeColor="text1"/>
          <w:sz w:val="16"/>
          <w:szCs w:val="16"/>
        </w:rPr>
      </w:pPr>
      <w:r w:rsidRPr="00D20C59">
        <w:rPr>
          <w:rFonts w:eastAsiaTheme="minorEastAsia" w:cs="Arial"/>
          <w:color w:val="000000" w:themeColor="text1"/>
          <w:sz w:val="16"/>
          <w:szCs w:val="16"/>
          <w:lang w:eastAsia="ko-KR"/>
          <w14:ligatures w14:val="standardContextual"/>
        </w:rPr>
        <w:t>[</w:t>
      </w:r>
      <w:r>
        <w:rPr>
          <w:rFonts w:eastAsiaTheme="minorEastAsia" w:cs="Arial"/>
          <w:color w:val="000000" w:themeColor="text1"/>
          <w:sz w:val="16"/>
          <w:szCs w:val="16"/>
          <w:lang w:eastAsia="ko-KR"/>
          <w14:ligatures w14:val="standardContextual"/>
        </w:rPr>
        <w:t>7</w:t>
      </w:r>
      <w:r w:rsidRPr="00D20C59">
        <w:rPr>
          <w:rFonts w:eastAsiaTheme="minorEastAsia" w:cs="Arial"/>
          <w:color w:val="000000" w:themeColor="text1"/>
          <w:sz w:val="16"/>
          <w:szCs w:val="16"/>
          <w:lang w:eastAsia="ko-KR"/>
          <w14:ligatures w14:val="standardContextual"/>
        </w:rPr>
        <w:t>]</w:t>
      </w:r>
      <w:r w:rsidRPr="00D20C59">
        <w:rPr>
          <w:rFonts w:eastAsiaTheme="minorEastAsia" w:cs="Arial"/>
          <w:color w:val="000000" w:themeColor="text1"/>
          <w:sz w:val="16"/>
          <w:szCs w:val="16"/>
          <w:lang w:eastAsia="ko-KR"/>
          <w14:ligatures w14:val="standardContextual"/>
        </w:rPr>
        <w:tab/>
      </w:r>
      <w:r w:rsidRPr="00D20C59">
        <w:rPr>
          <w:noProof/>
          <w:color w:val="000000" w:themeColor="text1"/>
          <w:sz w:val="16"/>
          <w:szCs w:val="16"/>
        </w:rPr>
        <w:t>Carrigy N, Chang R, Leung S, Harrison M, Petrova Z, Pope W, Hatfull G, Britton W, Chan H, Sauvageau D, Finlay W, Vehring R: Anti-tuberculosis bacteriophage D29 delivery with a vibrating mesh nebuliser, jet nebuliser, and soft mist inhaler, Pharm Res 2017; 34: 10: pp 2084-2096.</w:t>
      </w:r>
    </w:p>
    <w:p w14:paraId="0EAA9994" w14:textId="77777777" w:rsidR="00233EFA" w:rsidRPr="00D20C59" w:rsidRDefault="00233EFA" w:rsidP="00233EFA">
      <w:pPr>
        <w:pStyle w:val="DDLBodyText"/>
        <w:ind w:left="284" w:hanging="284"/>
        <w:jc w:val="left"/>
        <w:rPr>
          <w:rFonts w:eastAsiaTheme="minorEastAsia" w:cs="Arial"/>
          <w:color w:val="000000" w:themeColor="text1"/>
          <w:sz w:val="16"/>
          <w:szCs w:val="16"/>
          <w:lang w:eastAsia="ko-KR"/>
          <w14:ligatures w14:val="standardContextual"/>
        </w:rPr>
      </w:pPr>
      <w:r w:rsidRPr="00D20C59">
        <w:rPr>
          <w:noProof/>
          <w:color w:val="000000" w:themeColor="text1"/>
          <w:sz w:val="16"/>
          <w:szCs w:val="16"/>
        </w:rPr>
        <w:t>[</w:t>
      </w:r>
      <w:r>
        <w:rPr>
          <w:noProof/>
          <w:color w:val="000000" w:themeColor="text1"/>
          <w:sz w:val="16"/>
          <w:szCs w:val="16"/>
        </w:rPr>
        <w:t>8</w:t>
      </w:r>
      <w:r w:rsidRPr="00D20C59">
        <w:rPr>
          <w:noProof/>
          <w:color w:val="000000" w:themeColor="text1"/>
          <w:sz w:val="16"/>
          <w:szCs w:val="16"/>
        </w:rPr>
        <w:t>]</w:t>
      </w:r>
      <w:r w:rsidRPr="00D20C59">
        <w:rPr>
          <w:noProof/>
          <w:color w:val="000000" w:themeColor="text1"/>
          <w:sz w:val="16"/>
          <w:szCs w:val="16"/>
        </w:rPr>
        <w:tab/>
        <w:t xml:space="preserve">Tai W, Chow M, Chang R, Tang P, Gonda I, MacArthur R, Chan H, Kwok P: Nebulised isotonic hydrochloroquine aerosols for potential treatment of COVID-19, Pharmaceutics 2021; </w:t>
      </w:r>
      <w:r w:rsidRPr="00D20C59">
        <w:rPr>
          <w:rFonts w:cs="Arial"/>
          <w:noProof/>
          <w:color w:val="000000" w:themeColor="text1"/>
          <w:sz w:val="16"/>
          <w:szCs w:val="16"/>
        </w:rPr>
        <w:t xml:space="preserve">13: 8: 1260. DOI: </w:t>
      </w:r>
      <w:r w:rsidRPr="00D20C59">
        <w:rPr>
          <w:rFonts w:eastAsiaTheme="minorEastAsia" w:cs="Arial"/>
          <w:color w:val="000000" w:themeColor="text1"/>
          <w:sz w:val="16"/>
          <w:szCs w:val="16"/>
          <w:lang w:eastAsia="ko-KR"/>
          <w14:ligatures w14:val="standardContextual"/>
        </w:rPr>
        <w:t xml:space="preserve">10.3390/pharmaceutics13081260 (online only). </w:t>
      </w:r>
    </w:p>
    <w:p w14:paraId="41D26CF3" w14:textId="77777777" w:rsidR="00233EFA" w:rsidRPr="00D20C59" w:rsidRDefault="00233EFA" w:rsidP="00233EFA">
      <w:pPr>
        <w:pStyle w:val="DDLBodyText"/>
        <w:ind w:left="284" w:hanging="284"/>
        <w:jc w:val="left"/>
        <w:rPr>
          <w:rFonts w:eastAsiaTheme="minorEastAsia" w:cs="Arial"/>
          <w:color w:val="000000" w:themeColor="text1"/>
          <w:sz w:val="16"/>
          <w:szCs w:val="16"/>
          <w:lang w:eastAsia="ko-KR"/>
          <w14:ligatures w14:val="standardContextual"/>
        </w:rPr>
      </w:pPr>
      <w:r w:rsidRPr="00D20C59">
        <w:rPr>
          <w:noProof/>
          <w:color w:val="000000" w:themeColor="text1"/>
          <w:sz w:val="16"/>
          <w:szCs w:val="16"/>
        </w:rPr>
        <w:t>[</w:t>
      </w:r>
      <w:r>
        <w:rPr>
          <w:noProof/>
          <w:color w:val="000000" w:themeColor="text1"/>
          <w:sz w:val="16"/>
          <w:szCs w:val="16"/>
        </w:rPr>
        <w:t>9</w:t>
      </w:r>
      <w:r w:rsidRPr="00D20C59">
        <w:rPr>
          <w:noProof/>
          <w:color w:val="000000" w:themeColor="text1"/>
          <w:sz w:val="16"/>
          <w:szCs w:val="16"/>
        </w:rPr>
        <w:t>]</w:t>
      </w:r>
      <w:r w:rsidRPr="00D20C59">
        <w:rPr>
          <w:noProof/>
          <w:color w:val="000000" w:themeColor="text1"/>
          <w:sz w:val="16"/>
          <w:szCs w:val="16"/>
        </w:rPr>
        <w:tab/>
        <w:t xml:space="preserve">McGrath J, O’Sullivan A, Bennett G, O’Toole C, Joyce M, Byrne M, MacLoughlin R: Investigation of the quality of exhaled aerosols </w:t>
      </w:r>
      <w:r w:rsidRPr="00D20C59">
        <w:rPr>
          <w:rFonts w:cs="Arial"/>
          <w:noProof/>
          <w:color w:val="000000" w:themeColor="text1"/>
          <w:sz w:val="16"/>
          <w:szCs w:val="16"/>
        </w:rPr>
        <w:t>released into the environment during nebulisation, Pharmaceutics 2019; 11020075. DOI:</w:t>
      </w:r>
      <w:r w:rsidRPr="00D20C59">
        <w:rPr>
          <w:rFonts w:eastAsiaTheme="minorEastAsia" w:cs="Arial"/>
          <w:color w:val="000000" w:themeColor="text1"/>
          <w:sz w:val="16"/>
          <w:szCs w:val="16"/>
          <w:lang w:eastAsia="ko-KR"/>
          <w14:ligatures w14:val="standardContextual"/>
        </w:rPr>
        <w:t>10.3390/pharmaceutics11020075</w:t>
      </w:r>
    </w:p>
    <w:p w14:paraId="40AA8A3B" w14:textId="77777777" w:rsidR="00233EFA" w:rsidRPr="00AA6AD0" w:rsidRDefault="00233EFA" w:rsidP="00233EFA">
      <w:pPr>
        <w:pStyle w:val="DDLBodyText"/>
        <w:ind w:left="284" w:hanging="284"/>
        <w:jc w:val="left"/>
        <w:rPr>
          <w:rFonts w:eastAsiaTheme="minorEastAsia" w:cs="Arial"/>
          <w:color w:val="000000" w:themeColor="text1"/>
          <w:sz w:val="16"/>
          <w:szCs w:val="16"/>
          <w:lang w:eastAsia="ko-KR"/>
          <w14:ligatures w14:val="standardContextual"/>
        </w:rPr>
      </w:pPr>
      <w:r w:rsidRPr="00D20C59">
        <w:rPr>
          <w:rFonts w:eastAsiaTheme="minorEastAsia" w:cs="Arial"/>
          <w:color w:val="000000" w:themeColor="text1"/>
          <w:sz w:val="16"/>
          <w:szCs w:val="16"/>
          <w:lang w:eastAsia="ko-KR"/>
          <w14:ligatures w14:val="standardContextual"/>
        </w:rPr>
        <w:t>[1</w:t>
      </w:r>
      <w:r>
        <w:rPr>
          <w:rFonts w:eastAsiaTheme="minorEastAsia" w:cs="Arial"/>
          <w:color w:val="000000" w:themeColor="text1"/>
          <w:sz w:val="16"/>
          <w:szCs w:val="16"/>
          <w:lang w:eastAsia="ko-KR"/>
          <w14:ligatures w14:val="standardContextual"/>
        </w:rPr>
        <w:t>0</w:t>
      </w:r>
      <w:r w:rsidRPr="00D20C59">
        <w:rPr>
          <w:rFonts w:eastAsiaTheme="minorEastAsia" w:cs="Arial"/>
          <w:color w:val="000000" w:themeColor="text1"/>
          <w:sz w:val="16"/>
          <w:szCs w:val="16"/>
          <w:lang w:eastAsia="ko-KR"/>
          <w14:ligatures w14:val="standardContextual"/>
        </w:rPr>
        <w:t>]</w:t>
      </w:r>
      <w:r w:rsidRPr="00D20C59">
        <w:rPr>
          <w:rFonts w:eastAsiaTheme="minorEastAsia" w:cs="Arial"/>
          <w:color w:val="000000" w:themeColor="text1"/>
          <w:sz w:val="16"/>
          <w:szCs w:val="16"/>
          <w:lang w:eastAsia="ko-KR"/>
          <w14:ligatures w14:val="standardContextual"/>
        </w:rPr>
        <w:tab/>
      </w:r>
      <w:r w:rsidRPr="00D20C59">
        <w:rPr>
          <w:noProof/>
          <w:color w:val="000000" w:themeColor="text1"/>
          <w:sz w:val="16"/>
          <w:szCs w:val="16"/>
        </w:rPr>
        <w:t>O’Callaghan C, Barry P: The science of nebulised drug delivery, Thorax 1997; 52 (Suppl 2): S31-S44.</w:t>
      </w:r>
    </w:p>
    <w:p w14:paraId="6985DF1C" w14:textId="77777777" w:rsidR="00233EFA" w:rsidRPr="00D20C59" w:rsidRDefault="00233EFA" w:rsidP="00233EFA">
      <w:pPr>
        <w:pStyle w:val="DDLBodyText"/>
        <w:ind w:left="284" w:hanging="284"/>
        <w:jc w:val="left"/>
        <w:rPr>
          <w:noProof/>
          <w:color w:val="000000" w:themeColor="text1"/>
          <w:sz w:val="16"/>
          <w:szCs w:val="16"/>
        </w:rPr>
      </w:pPr>
      <w:r w:rsidRPr="00D20C59">
        <w:rPr>
          <w:noProof/>
          <w:color w:val="000000" w:themeColor="text1"/>
          <w:sz w:val="16"/>
          <w:szCs w:val="16"/>
        </w:rPr>
        <w:t>[1</w:t>
      </w:r>
      <w:r>
        <w:rPr>
          <w:noProof/>
          <w:color w:val="000000" w:themeColor="text1"/>
          <w:sz w:val="16"/>
          <w:szCs w:val="16"/>
        </w:rPr>
        <w:t>1</w:t>
      </w:r>
      <w:r w:rsidRPr="00D20C59">
        <w:rPr>
          <w:noProof/>
          <w:color w:val="000000" w:themeColor="text1"/>
          <w:sz w:val="16"/>
          <w:szCs w:val="16"/>
        </w:rPr>
        <w:t xml:space="preserve">] Su Y, Zheng X, Zhao Q, Fu N, Xiong H, Wu W, Chen X: Spray drying of </w:t>
      </w:r>
      <w:r w:rsidRPr="00D20C59">
        <w:rPr>
          <w:i/>
          <w:noProof/>
          <w:color w:val="000000" w:themeColor="text1"/>
          <w:sz w:val="16"/>
          <w:szCs w:val="16"/>
        </w:rPr>
        <w:t xml:space="preserve">Lactobacillus rhamnosus </w:t>
      </w:r>
      <w:r w:rsidRPr="00D20C59">
        <w:rPr>
          <w:noProof/>
          <w:color w:val="000000" w:themeColor="text1"/>
          <w:sz w:val="16"/>
          <w:szCs w:val="16"/>
        </w:rPr>
        <w:t>GG with calcium-containing protectant for enhanced viability, Powder Technol 2019; 358: pp 87-94.</w:t>
      </w:r>
    </w:p>
    <w:p w14:paraId="4FCD21AB" w14:textId="77777777" w:rsidR="00233EFA" w:rsidRPr="00D20C59" w:rsidRDefault="00233EFA" w:rsidP="00233EFA">
      <w:pPr>
        <w:pStyle w:val="DDLBodyText"/>
        <w:ind w:left="284" w:hanging="284"/>
        <w:jc w:val="left"/>
        <w:rPr>
          <w:noProof/>
          <w:color w:val="000000" w:themeColor="text1"/>
          <w:sz w:val="16"/>
          <w:szCs w:val="16"/>
        </w:rPr>
      </w:pPr>
      <w:r w:rsidRPr="00D20C59">
        <w:rPr>
          <w:noProof/>
          <w:color w:val="000000" w:themeColor="text1"/>
          <w:sz w:val="16"/>
          <w:szCs w:val="16"/>
        </w:rPr>
        <w:t>[1</w:t>
      </w:r>
      <w:r>
        <w:rPr>
          <w:noProof/>
          <w:color w:val="000000" w:themeColor="text1"/>
          <w:sz w:val="16"/>
          <w:szCs w:val="16"/>
        </w:rPr>
        <w:t>2</w:t>
      </w:r>
      <w:r w:rsidRPr="00D20C59">
        <w:rPr>
          <w:noProof/>
          <w:color w:val="000000" w:themeColor="text1"/>
          <w:sz w:val="16"/>
          <w:szCs w:val="16"/>
        </w:rPr>
        <w:t>]</w:t>
      </w:r>
      <w:r w:rsidRPr="00D20C59">
        <w:rPr>
          <w:noProof/>
          <w:color w:val="000000" w:themeColor="text1"/>
          <w:sz w:val="16"/>
          <w:szCs w:val="16"/>
        </w:rPr>
        <w:tab/>
        <w:t>Liao C, Shollenberger L: Survivability and long-term preservation of bacteria in water and in phosphate buffered saline, Lett Appl Microbiol 2003; 37: pp 45-50.</w:t>
      </w:r>
    </w:p>
    <w:p w14:paraId="57DCC0FB" w14:textId="736B7A41" w:rsidR="007D307A" w:rsidRPr="00233EFA" w:rsidRDefault="00233EFA" w:rsidP="00233EFA">
      <w:pPr>
        <w:pStyle w:val="DDLBodyText"/>
        <w:ind w:left="284" w:hanging="284"/>
        <w:jc w:val="left"/>
        <w:rPr>
          <w:noProof/>
          <w:color w:val="000000" w:themeColor="text1"/>
          <w:sz w:val="16"/>
          <w:szCs w:val="16"/>
        </w:rPr>
      </w:pPr>
      <w:r w:rsidRPr="00D20C59">
        <w:rPr>
          <w:noProof/>
          <w:color w:val="000000" w:themeColor="text1"/>
          <w:sz w:val="16"/>
          <w:szCs w:val="16"/>
        </w:rPr>
        <w:t>[1</w:t>
      </w:r>
      <w:r>
        <w:rPr>
          <w:noProof/>
          <w:color w:val="000000" w:themeColor="text1"/>
          <w:sz w:val="16"/>
          <w:szCs w:val="16"/>
        </w:rPr>
        <w:t>3</w:t>
      </w:r>
      <w:r w:rsidRPr="00D20C59">
        <w:rPr>
          <w:noProof/>
          <w:color w:val="000000" w:themeColor="text1"/>
          <w:sz w:val="16"/>
          <w:szCs w:val="16"/>
        </w:rPr>
        <w:t>]</w:t>
      </w:r>
      <w:r w:rsidRPr="00D20C59">
        <w:rPr>
          <w:noProof/>
          <w:color w:val="000000" w:themeColor="text1"/>
          <w:sz w:val="16"/>
          <w:szCs w:val="16"/>
        </w:rPr>
        <w:tab/>
        <w:t xml:space="preserve">Lin Y, Chang R, Britton W, Morales S, Kutter E, Chan H: Synergy of nebulised phage PEV20 and ciprofloxacin combination against </w:t>
      </w:r>
      <w:r w:rsidRPr="00D20C59">
        <w:rPr>
          <w:i/>
          <w:noProof/>
          <w:color w:val="000000" w:themeColor="text1"/>
          <w:sz w:val="16"/>
          <w:szCs w:val="16"/>
        </w:rPr>
        <w:t>Pseudomonas aeruginosa</w:t>
      </w:r>
      <w:r w:rsidRPr="00D20C59">
        <w:rPr>
          <w:noProof/>
          <w:color w:val="000000" w:themeColor="text1"/>
          <w:sz w:val="16"/>
          <w:szCs w:val="16"/>
        </w:rPr>
        <w:t>, Int J Pharm 2018; 551: pp 158-165.</w:t>
      </w:r>
    </w:p>
    <w:p w14:paraId="57DCC100" w14:textId="76388AF5" w:rsidR="00A515A9" w:rsidRPr="001C1A34" w:rsidRDefault="00A515A9" w:rsidP="00D156FE">
      <w:pPr>
        <w:pStyle w:val="DDLBodyText"/>
      </w:pPr>
    </w:p>
    <w:sectPr w:rsidR="00A515A9" w:rsidRPr="001C1A34" w:rsidSect="00660395">
      <w:headerReference w:type="even" r:id="rId14"/>
      <w:headerReference w:type="default" r:id="rId15"/>
      <w:endnotePr>
        <w:numFmt w:val="decimal"/>
      </w:endnotePr>
      <w:pgSz w:w="11907" w:h="16839" w:code="9"/>
      <w:pgMar w:top="1304" w:right="1304" w:bottom="993" w:left="1531" w:header="720" w:footer="720"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A3165B" w14:textId="77777777" w:rsidR="00531F8C" w:rsidRDefault="00531F8C" w:rsidP="00A515A9">
      <w:pPr>
        <w:spacing w:after="0"/>
      </w:pPr>
      <w:r>
        <w:separator/>
      </w:r>
    </w:p>
  </w:endnote>
  <w:endnote w:type="continuationSeparator" w:id="0">
    <w:p w14:paraId="4EF1BB3E" w14:textId="77777777" w:rsidR="00531F8C" w:rsidRDefault="00531F8C" w:rsidP="00A515A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4A9753" w14:textId="77777777" w:rsidR="00531F8C" w:rsidRDefault="00531F8C" w:rsidP="00A515A9">
      <w:pPr>
        <w:spacing w:after="0"/>
      </w:pPr>
      <w:r>
        <w:separator/>
      </w:r>
    </w:p>
  </w:footnote>
  <w:footnote w:type="continuationSeparator" w:id="0">
    <w:p w14:paraId="7F788D2B" w14:textId="77777777" w:rsidR="00531F8C" w:rsidRDefault="00531F8C" w:rsidP="00A515A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7" w14:textId="1E513433" w:rsidR="00C126B9" w:rsidRPr="003C58EE" w:rsidRDefault="009A52B9" w:rsidP="00964A86">
    <w:pPr>
      <w:pStyle w:val="Header"/>
      <w:pBdr>
        <w:bottom w:val="single" w:sz="6" w:space="1" w:color="auto"/>
      </w:pBdr>
      <w:jc w:val="left"/>
      <w:rPr>
        <w:i/>
      </w:rPr>
    </w:pPr>
    <w:r w:rsidRPr="003C58EE">
      <w:rPr>
        <w:i/>
      </w:rPr>
      <w:t>Drug Delivery to the Lungs</w:t>
    </w:r>
    <w:r w:rsidR="008C5C57" w:rsidRPr="003C58EE">
      <w:rPr>
        <w:i/>
      </w:rPr>
      <w:t>, Volume 3</w:t>
    </w:r>
    <w:r w:rsidR="003C58EE" w:rsidRPr="003C58EE">
      <w:rPr>
        <w:i/>
      </w:rPr>
      <w:t>3</w:t>
    </w:r>
    <w:r w:rsidR="008C5C57" w:rsidRPr="003C58EE">
      <w:rPr>
        <w:i/>
      </w:rPr>
      <w:t>,</w:t>
    </w:r>
    <w:r w:rsidR="00964A86" w:rsidRPr="003C58EE">
      <w:rPr>
        <w:i/>
      </w:rPr>
      <w:t xml:space="preserve"> 20</w:t>
    </w:r>
    <w:r w:rsidR="00F27E20" w:rsidRPr="003C58EE">
      <w:rPr>
        <w:i/>
      </w:rPr>
      <w:t>2</w:t>
    </w:r>
    <w:r w:rsidR="009F5D0A">
      <w:rPr>
        <w:i/>
      </w:rPr>
      <w:t>3</w:t>
    </w:r>
    <w:r w:rsidR="00964A86" w:rsidRPr="003C58EE">
      <w:rPr>
        <w:i/>
      </w:rPr>
      <w:t xml:space="preserve"> </w:t>
    </w:r>
    <w:r w:rsidR="00335FBB">
      <w:rPr>
        <w:i/>
      </w:rPr>
      <w:t>–</w:t>
    </w:r>
    <w:r w:rsidRPr="003C58EE">
      <w:rPr>
        <w:i/>
      </w:rPr>
      <w:t xml:space="preserve"> </w:t>
    </w:r>
    <w:r w:rsidR="00990C1E" w:rsidRPr="003C58EE">
      <w:rPr>
        <w:i/>
      </w:rPr>
      <w:fldChar w:fldCharType="begin"/>
    </w:r>
    <w:r w:rsidR="00990C1E" w:rsidRPr="003C58EE">
      <w:rPr>
        <w:i/>
      </w:rPr>
      <w:instrText xml:space="preserve"> REF Title \h  \* MERGEFORMAT </w:instrText>
    </w:r>
    <w:r w:rsidR="00990C1E" w:rsidRPr="003C58EE">
      <w:rPr>
        <w:i/>
      </w:rPr>
    </w:r>
    <w:r w:rsidR="00990C1E" w:rsidRPr="003C58EE">
      <w:rPr>
        <w:i/>
      </w:rPr>
      <w:fldChar w:fldCharType="separate"/>
    </w:r>
    <w:sdt>
      <w:sdtPr>
        <w:rPr>
          <w:i/>
        </w:rPr>
        <w:alias w:val="Title"/>
        <w:tag w:val="Title"/>
        <w:id w:val="-712966800"/>
        <w:lock w:val="sdtLocked"/>
        <w:placeholder>
          <w:docPart w:val="B046F90048CB4F0380F99889E7477724"/>
        </w:placeholder>
      </w:sdtPr>
      <w:sdtEndPr>
        <w:rPr>
          <w:rStyle w:val="PlaceholderText"/>
          <w:color w:val="808080"/>
        </w:rPr>
      </w:sdtEndPr>
      <w:sdtContent>
        <w:r w:rsidR="00335FBB">
          <w:rPr>
            <w:i/>
          </w:rPr>
          <w:t xml:space="preserve">Pulmonary delivery of Lactobacillus </w:t>
        </w:r>
        <w:proofErr w:type="spellStart"/>
        <w:r w:rsidR="00335FBB">
          <w:rPr>
            <w:i/>
          </w:rPr>
          <w:t>rh</w:t>
        </w:r>
        <w:r w:rsidR="00757773">
          <w:rPr>
            <w:i/>
          </w:rPr>
          <w:t>a</w:t>
        </w:r>
        <w:r w:rsidR="00335FBB">
          <w:rPr>
            <w:i/>
          </w:rPr>
          <w:t>mnosus</w:t>
        </w:r>
        <w:proofErr w:type="spellEnd"/>
        <w:r w:rsidR="00335FBB">
          <w:rPr>
            <w:i/>
          </w:rPr>
          <w:t xml:space="preserve"> GG </w:t>
        </w:r>
        <w:r w:rsidR="00334A0D">
          <w:rPr>
            <w:i/>
          </w:rPr>
          <w:t>with vibrating mesh and jet nebulisers</w:t>
        </w:r>
      </w:sdtContent>
    </w:sdt>
    <w:r w:rsidR="00990C1E" w:rsidRPr="003C58EE">
      <w:rPr>
        <w:i/>
      </w:rPr>
      <w:fldChar w:fldCharType="end"/>
    </w:r>
    <w:r w:rsidR="003C58EE">
      <w:rPr>
        <w: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8" w14:textId="599F8154" w:rsidR="00964A86" w:rsidRPr="00964A86" w:rsidRDefault="002E77AE" w:rsidP="00964A86">
    <w:pPr>
      <w:pStyle w:val="Header"/>
      <w:pBdr>
        <w:bottom w:val="single" w:sz="6" w:space="1" w:color="auto"/>
      </w:pBdr>
      <w:rPr>
        <w:i/>
      </w:rPr>
    </w:pPr>
    <w:r>
      <w:rPr>
        <w:i/>
      </w:rPr>
      <w:t>Drug Delivery to the Lungs</w:t>
    </w:r>
    <w:r w:rsidR="00DE53F7">
      <w:rPr>
        <w:i/>
      </w:rPr>
      <w:t>, Volume 3</w:t>
    </w:r>
    <w:r w:rsidR="00774E51">
      <w:rPr>
        <w:i/>
      </w:rPr>
      <w:t>4</w:t>
    </w:r>
    <w:r w:rsidR="00964A86" w:rsidRPr="00964A86">
      <w:rPr>
        <w:i/>
      </w:rPr>
      <w:t>, 20</w:t>
    </w:r>
    <w:r w:rsidR="00F27E20">
      <w:rPr>
        <w:i/>
      </w:rPr>
      <w:t>2</w:t>
    </w:r>
    <w:r w:rsidR="00774E51">
      <w:rPr>
        <w:i/>
      </w:rPr>
      <w:t>3</w:t>
    </w:r>
    <w:r w:rsidR="00964A86" w:rsidRPr="00964A86">
      <w:rPr>
        <w:i/>
      </w:rPr>
      <w:t xml:space="preserve"> - </w:t>
    </w:r>
    <w:r w:rsidR="00990C1E" w:rsidRPr="00BD7DE3">
      <w:rPr>
        <w:i/>
      </w:rPr>
      <w:fldChar w:fldCharType="begin"/>
    </w:r>
    <w:r w:rsidR="00990C1E" w:rsidRPr="00BD7DE3">
      <w:rPr>
        <w:i/>
      </w:rPr>
      <w:instrText xml:space="preserve"> REF Author \h  \* MERGEFORMAT </w:instrText>
    </w:r>
    <w:r w:rsidR="00990C1E" w:rsidRPr="00BD7DE3">
      <w:rPr>
        <w:i/>
      </w:rPr>
    </w:r>
    <w:r w:rsidR="00990C1E" w:rsidRPr="00BD7DE3">
      <w:rPr>
        <w:i/>
      </w:rPr>
      <w:fldChar w:fldCharType="separate"/>
    </w:r>
    <w:sdt>
      <w:sdtPr>
        <w:rPr>
          <w:i/>
        </w:rPr>
        <w:alias w:val="Main Author"/>
        <w:tag w:val="Main Author"/>
        <w:id w:val="-1041593484"/>
        <w:lock w:val="sdtLocked"/>
        <w:placeholder>
          <w:docPart w:val="8767CCE5C7C749C29833C80B52C2E589"/>
        </w:placeholder>
      </w:sdtPr>
      <w:sdtEndPr>
        <w:rPr>
          <w:rStyle w:val="PlaceholderText"/>
          <w:color w:val="808080"/>
        </w:rPr>
      </w:sdtEndPr>
      <w:sdtContent>
        <w:r w:rsidR="00513E50">
          <w:rPr>
            <w:i/>
          </w:rPr>
          <w:t>Byun</w:t>
        </w:r>
      </w:sdtContent>
    </w:sdt>
    <w:r w:rsidR="00990C1E" w:rsidRPr="00BD7DE3">
      <w:rPr>
        <w:i/>
      </w:rPr>
      <w:fldChar w:fldCharType="end"/>
    </w:r>
    <w:r w:rsidR="00964A86" w:rsidRPr="00BD7DE3">
      <w:rPr>
        <w:i/>
      </w:rPr>
      <w:t xml:space="preserve"> et 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A48BE"/>
    <w:multiLevelType w:val="singleLevel"/>
    <w:tmpl w:val="E01298FA"/>
    <w:lvl w:ilvl="0">
      <w:start w:val="4"/>
      <w:numFmt w:val="decimal"/>
      <w:lvlText w:val="%1."/>
      <w:lvlJc w:val="left"/>
      <w:pPr>
        <w:tabs>
          <w:tab w:val="num" w:pos="720"/>
        </w:tabs>
        <w:ind w:left="720" w:hanging="720"/>
      </w:pPr>
      <w:rPr>
        <w:rFonts w:hint="default"/>
      </w:rPr>
    </w:lvl>
  </w:abstractNum>
  <w:abstractNum w:abstractNumId="1" w15:restartNumberingAfterBreak="0">
    <w:nsid w:val="4D2838E3"/>
    <w:multiLevelType w:val="hybridMultilevel"/>
    <w:tmpl w:val="273A5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9117410"/>
    <w:multiLevelType w:val="hybridMultilevel"/>
    <w:tmpl w:val="3098AA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49C5B5C"/>
    <w:multiLevelType w:val="hybridMultilevel"/>
    <w:tmpl w:val="F4D2D526"/>
    <w:lvl w:ilvl="0" w:tplc="D310CAD2">
      <w:start w:val="1"/>
      <w:numFmt w:val="bullet"/>
      <w:pStyle w:val="DDL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A387F93"/>
    <w:multiLevelType w:val="singleLevel"/>
    <w:tmpl w:val="153E676C"/>
    <w:lvl w:ilvl="0">
      <w:start w:val="1"/>
      <w:numFmt w:val="decimal"/>
      <w:lvlText w:val="%1."/>
      <w:lvlJc w:val="left"/>
      <w:pPr>
        <w:tabs>
          <w:tab w:val="num" w:pos="720"/>
        </w:tabs>
        <w:ind w:left="720" w:hanging="720"/>
      </w:pPr>
      <w:rPr>
        <w:rFonts w:hint="default"/>
      </w:rPr>
    </w:lvl>
  </w:abstractNum>
  <w:num w:numId="1" w16cid:durableId="196817104">
    <w:abstractNumId w:val="4"/>
  </w:num>
  <w:num w:numId="2" w16cid:durableId="1173883495">
    <w:abstractNumId w:val="0"/>
  </w:num>
  <w:num w:numId="3" w16cid:durableId="1473520453">
    <w:abstractNumId w:val="2"/>
  </w:num>
  <w:num w:numId="4" w16cid:durableId="880900156">
    <w:abstractNumId w:val="3"/>
  </w:num>
  <w:num w:numId="5" w16cid:durableId="19415200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7D5"/>
    <w:rsid w:val="0000715D"/>
    <w:rsid w:val="0001616D"/>
    <w:rsid w:val="00016641"/>
    <w:rsid w:val="00026C4B"/>
    <w:rsid w:val="00032260"/>
    <w:rsid w:val="000324DB"/>
    <w:rsid w:val="00042D62"/>
    <w:rsid w:val="00054372"/>
    <w:rsid w:val="00064421"/>
    <w:rsid w:val="0006467A"/>
    <w:rsid w:val="00064B4F"/>
    <w:rsid w:val="0008694E"/>
    <w:rsid w:val="000A256B"/>
    <w:rsid w:val="000A2590"/>
    <w:rsid w:val="000A5A12"/>
    <w:rsid w:val="000E77D5"/>
    <w:rsid w:val="0012224E"/>
    <w:rsid w:val="00134FB6"/>
    <w:rsid w:val="001516A0"/>
    <w:rsid w:val="00160344"/>
    <w:rsid w:val="001604DB"/>
    <w:rsid w:val="001942DB"/>
    <w:rsid w:val="001B0E1B"/>
    <w:rsid w:val="001C1A34"/>
    <w:rsid w:val="001F70F6"/>
    <w:rsid w:val="001F79B3"/>
    <w:rsid w:val="00217845"/>
    <w:rsid w:val="00231C18"/>
    <w:rsid w:val="00233EFA"/>
    <w:rsid w:val="002666D8"/>
    <w:rsid w:val="00266D63"/>
    <w:rsid w:val="00283F05"/>
    <w:rsid w:val="00287EA3"/>
    <w:rsid w:val="0029067A"/>
    <w:rsid w:val="002A3E34"/>
    <w:rsid w:val="002A67A3"/>
    <w:rsid w:val="002B74ED"/>
    <w:rsid w:val="002C6547"/>
    <w:rsid w:val="002E77AE"/>
    <w:rsid w:val="002F38E3"/>
    <w:rsid w:val="00311E4A"/>
    <w:rsid w:val="0031528C"/>
    <w:rsid w:val="00323FE7"/>
    <w:rsid w:val="0033185B"/>
    <w:rsid w:val="00334A0D"/>
    <w:rsid w:val="00335FBB"/>
    <w:rsid w:val="0034725F"/>
    <w:rsid w:val="00387ECA"/>
    <w:rsid w:val="0039248E"/>
    <w:rsid w:val="0039676A"/>
    <w:rsid w:val="003A0E3A"/>
    <w:rsid w:val="003B1031"/>
    <w:rsid w:val="003B383B"/>
    <w:rsid w:val="003B65D1"/>
    <w:rsid w:val="003C568E"/>
    <w:rsid w:val="003C58EE"/>
    <w:rsid w:val="003C6A3B"/>
    <w:rsid w:val="003D10FC"/>
    <w:rsid w:val="003D3DDE"/>
    <w:rsid w:val="003D7C47"/>
    <w:rsid w:val="003E5D10"/>
    <w:rsid w:val="003F37A9"/>
    <w:rsid w:val="00402923"/>
    <w:rsid w:val="00404A4E"/>
    <w:rsid w:val="0040614F"/>
    <w:rsid w:val="00407192"/>
    <w:rsid w:val="0041018A"/>
    <w:rsid w:val="00424C98"/>
    <w:rsid w:val="00427F09"/>
    <w:rsid w:val="00442036"/>
    <w:rsid w:val="00444A63"/>
    <w:rsid w:val="00447700"/>
    <w:rsid w:val="00490C5A"/>
    <w:rsid w:val="00496006"/>
    <w:rsid w:val="004A684A"/>
    <w:rsid w:val="004B1CFB"/>
    <w:rsid w:val="004B2051"/>
    <w:rsid w:val="004B6D88"/>
    <w:rsid w:val="004C1847"/>
    <w:rsid w:val="004F0985"/>
    <w:rsid w:val="004F7E1D"/>
    <w:rsid w:val="004F7F64"/>
    <w:rsid w:val="00513E50"/>
    <w:rsid w:val="005302DC"/>
    <w:rsid w:val="005303CA"/>
    <w:rsid w:val="00531F8C"/>
    <w:rsid w:val="005357DB"/>
    <w:rsid w:val="005415E7"/>
    <w:rsid w:val="00541F41"/>
    <w:rsid w:val="00544864"/>
    <w:rsid w:val="00544FB7"/>
    <w:rsid w:val="00565D5A"/>
    <w:rsid w:val="00582113"/>
    <w:rsid w:val="00591DC8"/>
    <w:rsid w:val="00593A46"/>
    <w:rsid w:val="00596663"/>
    <w:rsid w:val="005B5FD9"/>
    <w:rsid w:val="005D1383"/>
    <w:rsid w:val="005D441D"/>
    <w:rsid w:val="005F4472"/>
    <w:rsid w:val="006047B7"/>
    <w:rsid w:val="00613573"/>
    <w:rsid w:val="006220F6"/>
    <w:rsid w:val="00623DF2"/>
    <w:rsid w:val="00631B86"/>
    <w:rsid w:val="00642787"/>
    <w:rsid w:val="00660395"/>
    <w:rsid w:val="00671088"/>
    <w:rsid w:val="00676DA7"/>
    <w:rsid w:val="00677708"/>
    <w:rsid w:val="00686D0B"/>
    <w:rsid w:val="00697AE7"/>
    <w:rsid w:val="006A7D26"/>
    <w:rsid w:val="006B12B5"/>
    <w:rsid w:val="006B3D22"/>
    <w:rsid w:val="006D526A"/>
    <w:rsid w:val="006E1C6F"/>
    <w:rsid w:val="006F0288"/>
    <w:rsid w:val="0070763C"/>
    <w:rsid w:val="00711C1F"/>
    <w:rsid w:val="00715F4B"/>
    <w:rsid w:val="00733C18"/>
    <w:rsid w:val="00757773"/>
    <w:rsid w:val="00760A13"/>
    <w:rsid w:val="007735FD"/>
    <w:rsid w:val="00774E51"/>
    <w:rsid w:val="00781E78"/>
    <w:rsid w:val="0078212D"/>
    <w:rsid w:val="00784010"/>
    <w:rsid w:val="00787F68"/>
    <w:rsid w:val="007B2BEC"/>
    <w:rsid w:val="007B38B6"/>
    <w:rsid w:val="007D307A"/>
    <w:rsid w:val="007E2F09"/>
    <w:rsid w:val="007E4351"/>
    <w:rsid w:val="007E5335"/>
    <w:rsid w:val="00804EEB"/>
    <w:rsid w:val="008050EA"/>
    <w:rsid w:val="00821655"/>
    <w:rsid w:val="0082477E"/>
    <w:rsid w:val="00830A3C"/>
    <w:rsid w:val="00836B77"/>
    <w:rsid w:val="00837ED2"/>
    <w:rsid w:val="00841376"/>
    <w:rsid w:val="008443EE"/>
    <w:rsid w:val="0084598F"/>
    <w:rsid w:val="008509DD"/>
    <w:rsid w:val="00852676"/>
    <w:rsid w:val="00860916"/>
    <w:rsid w:val="00870B52"/>
    <w:rsid w:val="00881895"/>
    <w:rsid w:val="008B02F1"/>
    <w:rsid w:val="008B4BF0"/>
    <w:rsid w:val="008C5C57"/>
    <w:rsid w:val="008C7F2D"/>
    <w:rsid w:val="008D115B"/>
    <w:rsid w:val="008D4D8B"/>
    <w:rsid w:val="008D702C"/>
    <w:rsid w:val="008D7F19"/>
    <w:rsid w:val="008F2A41"/>
    <w:rsid w:val="00930DA1"/>
    <w:rsid w:val="0093458B"/>
    <w:rsid w:val="00941946"/>
    <w:rsid w:val="0095324F"/>
    <w:rsid w:val="0096375D"/>
    <w:rsid w:val="00964A86"/>
    <w:rsid w:val="00966CD3"/>
    <w:rsid w:val="00974E37"/>
    <w:rsid w:val="009818AC"/>
    <w:rsid w:val="00987AD6"/>
    <w:rsid w:val="00990C1E"/>
    <w:rsid w:val="00996628"/>
    <w:rsid w:val="009A0009"/>
    <w:rsid w:val="009A1638"/>
    <w:rsid w:val="009A4453"/>
    <w:rsid w:val="009A52B9"/>
    <w:rsid w:val="009A5E01"/>
    <w:rsid w:val="009C6C08"/>
    <w:rsid w:val="009D1A31"/>
    <w:rsid w:val="009D1CB7"/>
    <w:rsid w:val="009D5953"/>
    <w:rsid w:val="009D77B3"/>
    <w:rsid w:val="009E7542"/>
    <w:rsid w:val="009F0EEF"/>
    <w:rsid w:val="009F5D0A"/>
    <w:rsid w:val="00A0358B"/>
    <w:rsid w:val="00A13504"/>
    <w:rsid w:val="00A14F14"/>
    <w:rsid w:val="00A46DAE"/>
    <w:rsid w:val="00A5103F"/>
    <w:rsid w:val="00A515A9"/>
    <w:rsid w:val="00A67298"/>
    <w:rsid w:val="00A94905"/>
    <w:rsid w:val="00AA1175"/>
    <w:rsid w:val="00AA74BE"/>
    <w:rsid w:val="00AC04A2"/>
    <w:rsid w:val="00AC20A7"/>
    <w:rsid w:val="00AD115D"/>
    <w:rsid w:val="00AF131E"/>
    <w:rsid w:val="00AF43C4"/>
    <w:rsid w:val="00AF4C6E"/>
    <w:rsid w:val="00B122AD"/>
    <w:rsid w:val="00B214B2"/>
    <w:rsid w:val="00B221F9"/>
    <w:rsid w:val="00B25B95"/>
    <w:rsid w:val="00B412B3"/>
    <w:rsid w:val="00B42A7F"/>
    <w:rsid w:val="00B5120E"/>
    <w:rsid w:val="00B54843"/>
    <w:rsid w:val="00B55646"/>
    <w:rsid w:val="00B719D1"/>
    <w:rsid w:val="00B804AB"/>
    <w:rsid w:val="00B906A5"/>
    <w:rsid w:val="00B94313"/>
    <w:rsid w:val="00BB2738"/>
    <w:rsid w:val="00BB33A4"/>
    <w:rsid w:val="00BC0021"/>
    <w:rsid w:val="00BC30C2"/>
    <w:rsid w:val="00BC3B49"/>
    <w:rsid w:val="00BD68AD"/>
    <w:rsid w:val="00BD70D3"/>
    <w:rsid w:val="00BD7DE3"/>
    <w:rsid w:val="00C0283C"/>
    <w:rsid w:val="00C126B9"/>
    <w:rsid w:val="00C25947"/>
    <w:rsid w:val="00C543B6"/>
    <w:rsid w:val="00C5513E"/>
    <w:rsid w:val="00C65A37"/>
    <w:rsid w:val="00C6681A"/>
    <w:rsid w:val="00C7120A"/>
    <w:rsid w:val="00C974E1"/>
    <w:rsid w:val="00CC1B69"/>
    <w:rsid w:val="00CE39C8"/>
    <w:rsid w:val="00CF1F73"/>
    <w:rsid w:val="00CF24A7"/>
    <w:rsid w:val="00CF7D1B"/>
    <w:rsid w:val="00D075F7"/>
    <w:rsid w:val="00D1209B"/>
    <w:rsid w:val="00D156FE"/>
    <w:rsid w:val="00D23C41"/>
    <w:rsid w:val="00D26210"/>
    <w:rsid w:val="00D301CD"/>
    <w:rsid w:val="00D41A7C"/>
    <w:rsid w:val="00D47884"/>
    <w:rsid w:val="00D54376"/>
    <w:rsid w:val="00D566D3"/>
    <w:rsid w:val="00D67A60"/>
    <w:rsid w:val="00D85CE6"/>
    <w:rsid w:val="00D93537"/>
    <w:rsid w:val="00D9655E"/>
    <w:rsid w:val="00DB349E"/>
    <w:rsid w:val="00DD4A2D"/>
    <w:rsid w:val="00DD5EB8"/>
    <w:rsid w:val="00DE0973"/>
    <w:rsid w:val="00DE53F7"/>
    <w:rsid w:val="00DE6AE7"/>
    <w:rsid w:val="00DF1745"/>
    <w:rsid w:val="00DF392A"/>
    <w:rsid w:val="00E00624"/>
    <w:rsid w:val="00E108CE"/>
    <w:rsid w:val="00E14DBF"/>
    <w:rsid w:val="00E42945"/>
    <w:rsid w:val="00E51903"/>
    <w:rsid w:val="00E62590"/>
    <w:rsid w:val="00E92FCA"/>
    <w:rsid w:val="00E9667D"/>
    <w:rsid w:val="00E97489"/>
    <w:rsid w:val="00EA530D"/>
    <w:rsid w:val="00EC2143"/>
    <w:rsid w:val="00ED747C"/>
    <w:rsid w:val="00EE7503"/>
    <w:rsid w:val="00F15D45"/>
    <w:rsid w:val="00F1766A"/>
    <w:rsid w:val="00F20F19"/>
    <w:rsid w:val="00F2495D"/>
    <w:rsid w:val="00F27E20"/>
    <w:rsid w:val="00F3080A"/>
    <w:rsid w:val="00F435EA"/>
    <w:rsid w:val="00FA6F23"/>
    <w:rsid w:val="00FC33BA"/>
    <w:rsid w:val="00FD125D"/>
    <w:rsid w:val="00FE2845"/>
    <w:rsid w:val="00FE2EE6"/>
    <w:rsid w:val="00FF2C85"/>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DCC0EB"/>
  <w15:docId w15:val="{807131DF-70D9-4A92-AC1A-A05F2C497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lsdException w:name="heading 2" w:uiPriority="9"/>
    <w:lsdException w:name="heading 3" w:uiPriority="9"/>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D77B3"/>
    <w:pPr>
      <w:spacing w:after="180"/>
      <w:jc w:val="both"/>
    </w:pPr>
    <w:rPr>
      <w:rFonts w:ascii="Arial" w:hAnsi="Arial"/>
      <w:sz w:val="18"/>
    </w:rPr>
  </w:style>
  <w:style w:type="paragraph" w:styleId="Heading1">
    <w:name w:val="heading 1"/>
    <w:basedOn w:val="Normal"/>
    <w:next w:val="Normal"/>
    <w:link w:val="Heading1Char"/>
    <w:autoRedefine/>
    <w:uiPriority w:val="9"/>
    <w:rsid w:val="00565D5A"/>
    <w:pPr>
      <w:keepNext/>
      <w:spacing w:before="360"/>
      <w:outlineLvl w:val="0"/>
    </w:pPr>
    <w:rPr>
      <w:b/>
      <w:bCs/>
      <w:kern w:val="32"/>
      <w:szCs w:val="32"/>
    </w:rPr>
  </w:style>
  <w:style w:type="paragraph" w:styleId="Heading2">
    <w:name w:val="heading 2"/>
    <w:basedOn w:val="Normal"/>
    <w:next w:val="Normal"/>
    <w:rsid w:val="00BD68AD"/>
    <w:pPr>
      <w:keepNext/>
      <w:outlineLvl w:val="1"/>
    </w:pPr>
    <w:rPr>
      <w:rFonts w:ascii="Times New Roman" w:hAnsi="Times New Roman"/>
      <w:b/>
      <w:i/>
      <w:sz w:val="22"/>
      <w:lang w:eastAsia="en-US"/>
    </w:rPr>
  </w:style>
  <w:style w:type="paragraph" w:styleId="Heading3">
    <w:name w:val="heading 3"/>
    <w:basedOn w:val="Normal"/>
    <w:next w:val="Normal"/>
    <w:rsid w:val="008D115B"/>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D5EB8"/>
    <w:rPr>
      <w:color w:val="0563C1"/>
      <w:u w:val="single"/>
    </w:rPr>
  </w:style>
  <w:style w:type="paragraph" w:customStyle="1" w:styleId="DDLTitle">
    <w:name w:val="DDL_Title"/>
    <w:basedOn w:val="Title"/>
    <w:next w:val="DDLSubtitle"/>
    <w:qFormat/>
    <w:rsid w:val="00AD115D"/>
    <w:pPr>
      <w:spacing w:before="0" w:after="280"/>
    </w:pPr>
    <w:rPr>
      <w:rFonts w:ascii="Arial" w:hAnsi="Arial"/>
      <w:sz w:val="18"/>
    </w:rPr>
  </w:style>
  <w:style w:type="paragraph" w:customStyle="1" w:styleId="DDLSubtitle">
    <w:name w:val="DDL_Subtitle"/>
    <w:basedOn w:val="Subtitle"/>
    <w:next w:val="DDLAddress1"/>
    <w:qFormat/>
    <w:rsid w:val="00AD115D"/>
    <w:pPr>
      <w:spacing w:after="180"/>
    </w:pPr>
    <w:rPr>
      <w:rFonts w:ascii="Arial" w:hAnsi="Arial"/>
      <w:b/>
      <w:sz w:val="18"/>
    </w:rPr>
  </w:style>
  <w:style w:type="paragraph" w:styleId="Title">
    <w:name w:val="Title"/>
    <w:basedOn w:val="Normal"/>
    <w:next w:val="Normal"/>
    <w:link w:val="TitleChar"/>
    <w:uiPriority w:val="10"/>
    <w:rsid w:val="00AD115D"/>
    <w:pPr>
      <w:spacing w:before="240" w:after="60"/>
      <w:jc w:val="center"/>
      <w:outlineLvl w:val="0"/>
    </w:pPr>
    <w:rPr>
      <w:rFonts w:ascii="Calibri Light" w:hAnsi="Calibri Light"/>
      <w:b/>
      <w:bCs/>
      <w:kern w:val="28"/>
      <w:sz w:val="32"/>
      <w:szCs w:val="32"/>
    </w:rPr>
  </w:style>
  <w:style w:type="character" w:customStyle="1" w:styleId="Heading1Char">
    <w:name w:val="Heading 1 Char"/>
    <w:link w:val="Heading1"/>
    <w:uiPriority w:val="9"/>
    <w:rsid w:val="00565D5A"/>
    <w:rPr>
      <w:rFonts w:ascii="Arial" w:eastAsia="Times New Roman" w:hAnsi="Arial" w:cs="Times New Roman"/>
      <w:b/>
      <w:bCs/>
      <w:kern w:val="32"/>
      <w:sz w:val="18"/>
      <w:szCs w:val="32"/>
    </w:rPr>
  </w:style>
  <w:style w:type="character" w:customStyle="1" w:styleId="TitleChar">
    <w:name w:val="Title Char"/>
    <w:link w:val="Title"/>
    <w:uiPriority w:val="10"/>
    <w:rsid w:val="00AD115D"/>
    <w:rPr>
      <w:rFonts w:ascii="Calibri Light" w:eastAsia="Times New Roman" w:hAnsi="Calibri Light" w:cs="Times New Roman"/>
      <w:b/>
      <w:bCs/>
      <w:kern w:val="28"/>
      <w:sz w:val="32"/>
      <w:szCs w:val="32"/>
    </w:rPr>
  </w:style>
  <w:style w:type="paragraph" w:styleId="Subtitle">
    <w:name w:val="Subtitle"/>
    <w:basedOn w:val="Normal"/>
    <w:next w:val="Normal"/>
    <w:link w:val="SubtitleChar"/>
    <w:uiPriority w:val="11"/>
    <w:rsid w:val="00AD115D"/>
    <w:pPr>
      <w:spacing w:after="60"/>
      <w:jc w:val="center"/>
      <w:outlineLvl w:val="1"/>
    </w:pPr>
    <w:rPr>
      <w:rFonts w:ascii="Calibri Light" w:hAnsi="Calibri Light"/>
      <w:sz w:val="24"/>
      <w:szCs w:val="24"/>
    </w:rPr>
  </w:style>
  <w:style w:type="character" w:customStyle="1" w:styleId="SubtitleChar">
    <w:name w:val="Subtitle Char"/>
    <w:link w:val="Subtitle"/>
    <w:uiPriority w:val="11"/>
    <w:rsid w:val="00AD115D"/>
    <w:rPr>
      <w:rFonts w:ascii="Calibri Light" w:eastAsia="Times New Roman" w:hAnsi="Calibri Light" w:cs="Times New Roman"/>
      <w:sz w:val="24"/>
      <w:szCs w:val="24"/>
    </w:rPr>
  </w:style>
  <w:style w:type="paragraph" w:customStyle="1" w:styleId="DDLAddress1">
    <w:name w:val="DDL_Address1"/>
    <w:basedOn w:val="DDLSubtitle"/>
    <w:next w:val="DDLAddress2"/>
    <w:qFormat/>
    <w:rsid w:val="00AD115D"/>
    <w:pPr>
      <w:spacing w:after="60"/>
    </w:pPr>
    <w:rPr>
      <w:b w:val="0"/>
    </w:rPr>
  </w:style>
  <w:style w:type="paragraph" w:customStyle="1" w:styleId="DDLAddress2">
    <w:name w:val="DDL_Address2"/>
    <w:basedOn w:val="DDLAddress1"/>
    <w:next w:val="DDLHeading1"/>
    <w:qFormat/>
    <w:rsid w:val="00AD115D"/>
    <w:pPr>
      <w:spacing w:after="280"/>
    </w:pPr>
  </w:style>
  <w:style w:type="paragraph" w:customStyle="1" w:styleId="DDLBodyText">
    <w:name w:val="DDL_BodyText"/>
    <w:basedOn w:val="Normal"/>
    <w:qFormat/>
    <w:rsid w:val="00D156FE"/>
  </w:style>
  <w:style w:type="paragraph" w:customStyle="1" w:styleId="DDLBullets">
    <w:name w:val="DDL_Bullets"/>
    <w:basedOn w:val="Normal"/>
    <w:qFormat/>
    <w:rsid w:val="00D156FE"/>
    <w:pPr>
      <w:numPr>
        <w:numId w:val="4"/>
      </w:numPr>
      <w:tabs>
        <w:tab w:val="left" w:pos="567"/>
        <w:tab w:val="left" w:pos="1701"/>
      </w:tabs>
      <w:spacing w:after="60"/>
      <w:ind w:left="568" w:hanging="284"/>
    </w:pPr>
  </w:style>
  <w:style w:type="paragraph" w:customStyle="1" w:styleId="DDLHeading1">
    <w:name w:val="DDL_Heading1"/>
    <w:basedOn w:val="Heading1"/>
    <w:next w:val="DDLBodyText"/>
    <w:qFormat/>
    <w:rsid w:val="00D156FE"/>
    <w:pPr>
      <w:spacing w:before="280"/>
    </w:pPr>
  </w:style>
  <w:style w:type="character" w:customStyle="1" w:styleId="DDLEmphasis">
    <w:name w:val="DDL_Emphasis"/>
    <w:qFormat/>
    <w:rsid w:val="00821655"/>
    <w:rPr>
      <w:rFonts w:ascii="Arial Black" w:hAnsi="Arial Black"/>
      <w:b w:val="0"/>
      <w:color w:val="595959"/>
      <w:sz w:val="18"/>
    </w:rPr>
  </w:style>
  <w:style w:type="character" w:styleId="CommentReference">
    <w:name w:val="annotation reference"/>
    <w:uiPriority w:val="99"/>
    <w:semiHidden/>
    <w:unhideWhenUsed/>
    <w:rsid w:val="0095324F"/>
    <w:rPr>
      <w:sz w:val="16"/>
      <w:szCs w:val="16"/>
    </w:rPr>
  </w:style>
  <w:style w:type="paragraph" w:styleId="CommentText">
    <w:name w:val="annotation text"/>
    <w:basedOn w:val="Normal"/>
    <w:link w:val="CommentTextChar"/>
    <w:uiPriority w:val="99"/>
    <w:unhideWhenUsed/>
    <w:rsid w:val="0095324F"/>
    <w:rPr>
      <w:sz w:val="20"/>
    </w:rPr>
  </w:style>
  <w:style w:type="character" w:customStyle="1" w:styleId="CommentTextChar">
    <w:name w:val="Comment Text Char"/>
    <w:link w:val="CommentText"/>
    <w:uiPriority w:val="99"/>
    <w:rsid w:val="0095324F"/>
    <w:rPr>
      <w:rFonts w:ascii="Arial" w:hAnsi="Arial"/>
    </w:rPr>
  </w:style>
  <w:style w:type="paragraph" w:styleId="CommentSubject">
    <w:name w:val="annotation subject"/>
    <w:basedOn w:val="CommentText"/>
    <w:next w:val="CommentText"/>
    <w:link w:val="CommentSubjectChar"/>
    <w:uiPriority w:val="99"/>
    <w:semiHidden/>
    <w:unhideWhenUsed/>
    <w:rsid w:val="0095324F"/>
    <w:rPr>
      <w:b/>
      <w:bCs/>
    </w:rPr>
  </w:style>
  <w:style w:type="character" w:customStyle="1" w:styleId="CommentSubjectChar">
    <w:name w:val="Comment Subject Char"/>
    <w:link w:val="CommentSubject"/>
    <w:uiPriority w:val="99"/>
    <w:semiHidden/>
    <w:rsid w:val="0095324F"/>
    <w:rPr>
      <w:rFonts w:ascii="Arial" w:hAnsi="Arial"/>
      <w:b/>
      <w:bCs/>
    </w:rPr>
  </w:style>
  <w:style w:type="paragraph" w:styleId="BalloonText">
    <w:name w:val="Balloon Text"/>
    <w:basedOn w:val="Normal"/>
    <w:link w:val="BalloonTextChar"/>
    <w:uiPriority w:val="99"/>
    <w:semiHidden/>
    <w:unhideWhenUsed/>
    <w:rsid w:val="0095324F"/>
    <w:pPr>
      <w:spacing w:after="0"/>
    </w:pPr>
    <w:rPr>
      <w:rFonts w:ascii="Segoe UI" w:hAnsi="Segoe UI"/>
      <w:szCs w:val="18"/>
    </w:rPr>
  </w:style>
  <w:style w:type="character" w:customStyle="1" w:styleId="BalloonTextChar">
    <w:name w:val="Balloon Text Char"/>
    <w:link w:val="BalloonText"/>
    <w:uiPriority w:val="99"/>
    <w:semiHidden/>
    <w:rsid w:val="0095324F"/>
    <w:rPr>
      <w:rFonts w:ascii="Segoe UI" w:hAnsi="Segoe UI" w:cs="Segoe UI"/>
      <w:sz w:val="18"/>
      <w:szCs w:val="18"/>
    </w:rPr>
  </w:style>
  <w:style w:type="paragraph" w:styleId="Caption">
    <w:name w:val="caption"/>
    <w:basedOn w:val="Normal"/>
    <w:next w:val="Normal"/>
    <w:uiPriority w:val="35"/>
    <w:semiHidden/>
    <w:unhideWhenUsed/>
    <w:qFormat/>
    <w:rsid w:val="0095324F"/>
    <w:rPr>
      <w:b/>
      <w:bCs/>
      <w:sz w:val="20"/>
    </w:rPr>
  </w:style>
  <w:style w:type="paragraph" w:customStyle="1" w:styleId="DDLCaption">
    <w:name w:val="DDL_Caption"/>
    <w:basedOn w:val="Caption"/>
    <w:next w:val="Normal"/>
    <w:qFormat/>
    <w:rsid w:val="0095324F"/>
    <w:pPr>
      <w:tabs>
        <w:tab w:val="left" w:pos="851"/>
      </w:tabs>
    </w:pPr>
    <w:rPr>
      <w:sz w:val="16"/>
      <w:szCs w:val="16"/>
    </w:rPr>
  </w:style>
  <w:style w:type="paragraph" w:customStyle="1" w:styleId="DDLFigure">
    <w:name w:val="DDL_Figure"/>
    <w:basedOn w:val="Normal"/>
    <w:qFormat/>
    <w:rsid w:val="00DF392A"/>
    <w:pPr>
      <w:keepNext/>
      <w:spacing w:after="100"/>
      <w:ind w:left="851"/>
    </w:pPr>
  </w:style>
  <w:style w:type="paragraph" w:styleId="EndnoteText">
    <w:name w:val="endnote text"/>
    <w:basedOn w:val="Normal"/>
    <w:link w:val="EndnoteTextChar"/>
    <w:uiPriority w:val="99"/>
    <w:semiHidden/>
    <w:unhideWhenUsed/>
    <w:rsid w:val="00A515A9"/>
    <w:rPr>
      <w:sz w:val="20"/>
    </w:rPr>
  </w:style>
  <w:style w:type="character" w:customStyle="1" w:styleId="EndnoteTextChar">
    <w:name w:val="Endnote Text Char"/>
    <w:link w:val="EndnoteText"/>
    <w:uiPriority w:val="99"/>
    <w:semiHidden/>
    <w:rsid w:val="00A515A9"/>
    <w:rPr>
      <w:rFonts w:ascii="Arial" w:hAnsi="Arial"/>
    </w:rPr>
  </w:style>
  <w:style w:type="character" w:styleId="EndnoteReference">
    <w:name w:val="endnote reference"/>
    <w:uiPriority w:val="99"/>
    <w:semiHidden/>
    <w:unhideWhenUsed/>
    <w:rsid w:val="00A515A9"/>
    <w:rPr>
      <w:vertAlign w:val="superscript"/>
    </w:rPr>
  </w:style>
  <w:style w:type="character" w:customStyle="1" w:styleId="DDLReferenceSuperscript">
    <w:name w:val="DDL_ReferenceSuperscript"/>
    <w:rsid w:val="00A515A9"/>
    <w:rPr>
      <w:vertAlign w:val="superscript"/>
    </w:rPr>
  </w:style>
  <w:style w:type="paragraph" w:customStyle="1" w:styleId="DDLReferences">
    <w:name w:val="DDL_References"/>
    <w:basedOn w:val="EndnoteText"/>
    <w:rsid w:val="00930DA1"/>
    <w:pPr>
      <w:tabs>
        <w:tab w:val="left" w:pos="284"/>
      </w:tabs>
      <w:ind w:left="284" w:hanging="284"/>
      <w:jc w:val="left"/>
    </w:pPr>
    <w:rPr>
      <w:sz w:val="16"/>
    </w:rPr>
  </w:style>
  <w:style w:type="paragraph" w:styleId="Header">
    <w:name w:val="header"/>
    <w:basedOn w:val="Normal"/>
    <w:link w:val="HeaderChar"/>
    <w:uiPriority w:val="99"/>
    <w:unhideWhenUsed/>
    <w:rsid w:val="00C126B9"/>
    <w:pPr>
      <w:tabs>
        <w:tab w:val="center" w:pos="4513"/>
        <w:tab w:val="right" w:pos="9026"/>
      </w:tabs>
    </w:pPr>
  </w:style>
  <w:style w:type="character" w:customStyle="1" w:styleId="HeaderChar">
    <w:name w:val="Header Char"/>
    <w:link w:val="Header"/>
    <w:uiPriority w:val="99"/>
    <w:rsid w:val="00C126B9"/>
    <w:rPr>
      <w:rFonts w:ascii="Arial" w:hAnsi="Arial"/>
      <w:sz w:val="18"/>
    </w:rPr>
  </w:style>
  <w:style w:type="paragraph" w:styleId="Footer">
    <w:name w:val="footer"/>
    <w:basedOn w:val="Normal"/>
    <w:link w:val="FooterChar"/>
    <w:uiPriority w:val="99"/>
    <w:unhideWhenUsed/>
    <w:rsid w:val="00C126B9"/>
    <w:pPr>
      <w:tabs>
        <w:tab w:val="center" w:pos="4513"/>
        <w:tab w:val="right" w:pos="9026"/>
      </w:tabs>
    </w:pPr>
  </w:style>
  <w:style w:type="character" w:customStyle="1" w:styleId="FooterChar">
    <w:name w:val="Footer Char"/>
    <w:link w:val="Footer"/>
    <w:uiPriority w:val="99"/>
    <w:rsid w:val="00C126B9"/>
    <w:rPr>
      <w:rFonts w:ascii="Arial" w:hAnsi="Arial"/>
      <w:sz w:val="18"/>
    </w:rPr>
  </w:style>
  <w:style w:type="character" w:styleId="PlaceholderText">
    <w:name w:val="Placeholder Text"/>
    <w:basedOn w:val="DefaultParagraphFont"/>
    <w:uiPriority w:val="99"/>
    <w:semiHidden/>
    <w:rsid w:val="00160344"/>
    <w:rPr>
      <w:color w:val="808080"/>
    </w:rPr>
  </w:style>
  <w:style w:type="character" w:styleId="Strong">
    <w:name w:val="Strong"/>
    <w:uiPriority w:val="22"/>
    <w:qFormat/>
    <w:rsid w:val="00E14DBF"/>
    <w:rPr>
      <w:b/>
      <w:bCs/>
    </w:rPr>
  </w:style>
  <w:style w:type="paragraph" w:styleId="Revision">
    <w:name w:val="Revision"/>
    <w:hidden/>
    <w:uiPriority w:val="99"/>
    <w:semiHidden/>
    <w:rsid w:val="000A5A12"/>
    <w:rPr>
      <w:rFonts w:ascii="Arial" w:hAnsi="Arial"/>
      <w:sz w:val="18"/>
    </w:rPr>
  </w:style>
  <w:style w:type="character" w:customStyle="1" w:styleId="normaltextrun">
    <w:name w:val="normaltextrun"/>
    <w:basedOn w:val="DefaultParagraphFont"/>
    <w:rsid w:val="00C259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378704">
      <w:bodyDiv w:val="1"/>
      <w:marLeft w:val="0"/>
      <w:marRight w:val="0"/>
      <w:marTop w:val="0"/>
      <w:marBottom w:val="0"/>
      <w:divBdr>
        <w:top w:val="none" w:sz="0" w:space="0" w:color="auto"/>
        <w:left w:val="none" w:sz="0" w:space="0" w:color="auto"/>
        <w:bottom w:val="none" w:sz="0" w:space="0" w:color="auto"/>
        <w:right w:val="none" w:sz="0" w:space="0" w:color="auto"/>
      </w:divBdr>
    </w:div>
    <w:div w:id="548494069">
      <w:bodyDiv w:val="1"/>
      <w:marLeft w:val="0"/>
      <w:marRight w:val="0"/>
      <w:marTop w:val="0"/>
      <w:marBottom w:val="0"/>
      <w:divBdr>
        <w:top w:val="none" w:sz="0" w:space="0" w:color="auto"/>
        <w:left w:val="none" w:sz="0" w:space="0" w:color="auto"/>
        <w:bottom w:val="none" w:sz="0" w:space="0" w:color="auto"/>
        <w:right w:val="none" w:sz="0" w:space="0" w:color="auto"/>
      </w:divBdr>
    </w:div>
    <w:div w:id="1183281930">
      <w:bodyDiv w:val="1"/>
      <w:marLeft w:val="0"/>
      <w:marRight w:val="0"/>
      <w:marTop w:val="0"/>
      <w:marBottom w:val="0"/>
      <w:divBdr>
        <w:top w:val="none" w:sz="0" w:space="0" w:color="auto"/>
        <w:left w:val="none" w:sz="0" w:space="0" w:color="auto"/>
        <w:bottom w:val="none" w:sz="0" w:space="0" w:color="auto"/>
        <w:right w:val="none" w:sz="0" w:space="0" w:color="auto"/>
      </w:divBdr>
    </w:div>
    <w:div w:id="1931771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i.org/10.1371/journal.pone.0075368"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93874C70D8C44D6B0BA71800E08656C"/>
        <w:category>
          <w:name w:val="General"/>
          <w:gallery w:val="placeholder"/>
        </w:category>
        <w:types>
          <w:type w:val="bbPlcHdr"/>
        </w:types>
        <w:behaviors>
          <w:behavior w:val="content"/>
        </w:behaviors>
        <w:guid w:val="{0CE55F09-29C6-4D1A-89F1-59EE4CB6303B}"/>
      </w:docPartPr>
      <w:docPartBody>
        <w:p w:rsidR="004A5D97" w:rsidRDefault="00623571" w:rsidP="00623571">
          <w:pPr>
            <w:pStyle w:val="F93874C70D8C44D6B0BA71800E08656C4"/>
          </w:pPr>
          <w:r w:rsidRPr="00160344">
            <w:rPr>
              <w:rStyle w:val="PlaceholderText"/>
              <w:color w:val="auto"/>
            </w:rPr>
            <w:t>Title of Your Paper</w:t>
          </w:r>
        </w:p>
      </w:docPartBody>
    </w:docPart>
    <w:docPart>
      <w:docPartPr>
        <w:name w:val="38BA82FFF2774C26AC6862CFB8BB55DB"/>
        <w:category>
          <w:name w:val="General"/>
          <w:gallery w:val="placeholder"/>
        </w:category>
        <w:types>
          <w:type w:val="bbPlcHdr"/>
        </w:types>
        <w:behaviors>
          <w:behavior w:val="content"/>
        </w:behaviors>
        <w:guid w:val="{BF2EA8B4-C61A-4653-9C63-BB7ECA0F24DD}"/>
      </w:docPartPr>
      <w:docPartBody>
        <w:p w:rsidR="004A5D97" w:rsidRDefault="00623571" w:rsidP="00623571">
          <w:pPr>
            <w:pStyle w:val="38BA82FFF2774C26AC6862CFB8BB55DB3"/>
          </w:pPr>
          <w:r w:rsidRPr="00160344">
            <w:rPr>
              <w:rStyle w:val="PlaceholderText"/>
              <w:color w:val="auto"/>
              <w:u w:val="single"/>
            </w:rPr>
            <w:t>Main Author</w:t>
          </w:r>
        </w:p>
      </w:docPartBody>
    </w:docPart>
    <w:docPart>
      <w:docPartPr>
        <w:name w:val="8767CCE5C7C749C29833C80B52C2E589"/>
        <w:category>
          <w:name w:val="General"/>
          <w:gallery w:val="placeholder"/>
        </w:category>
        <w:types>
          <w:type w:val="bbPlcHdr"/>
        </w:types>
        <w:behaviors>
          <w:behavior w:val="content"/>
        </w:behaviors>
        <w:guid w:val="{4FC66B6F-D2F5-4631-A24F-ED1C9CE7FD41}"/>
      </w:docPartPr>
      <w:docPartBody>
        <w:p w:rsidR="004A5D97" w:rsidRDefault="00623571" w:rsidP="00623571">
          <w:pPr>
            <w:pStyle w:val="8767CCE5C7C749C29833C80B52C2E5891"/>
          </w:pPr>
          <w:r w:rsidRPr="00964A86">
            <w:rPr>
              <w:rStyle w:val="PlaceholderText"/>
              <w:i/>
              <w:color w:val="auto"/>
            </w:rPr>
            <w:t>Main Author</w:t>
          </w:r>
        </w:p>
      </w:docPartBody>
    </w:docPart>
    <w:docPart>
      <w:docPartPr>
        <w:name w:val="B046F90048CB4F0380F99889E7477724"/>
        <w:category>
          <w:name w:val="General"/>
          <w:gallery w:val="placeholder"/>
        </w:category>
        <w:types>
          <w:type w:val="bbPlcHdr"/>
        </w:types>
        <w:behaviors>
          <w:behavior w:val="content"/>
        </w:behaviors>
        <w:guid w:val="{36C9EF43-5889-458B-9270-ECE830BAB608}"/>
      </w:docPartPr>
      <w:docPartBody>
        <w:p w:rsidR="004A5D97" w:rsidRDefault="00623571" w:rsidP="00623571">
          <w:pPr>
            <w:pStyle w:val="B046F90048CB4F0380F99889E7477724"/>
          </w:pPr>
          <w:r w:rsidRPr="00160344">
            <w:rPr>
              <w:rStyle w:val="PlaceholderText"/>
              <w:color w:val="auto"/>
            </w:rPr>
            <w:t>Title of Your Paper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623571"/>
    <w:rsid w:val="00074500"/>
    <w:rsid w:val="00134A2D"/>
    <w:rsid w:val="001703F7"/>
    <w:rsid w:val="00194847"/>
    <w:rsid w:val="001D4D96"/>
    <w:rsid w:val="002D0D5E"/>
    <w:rsid w:val="003009AF"/>
    <w:rsid w:val="00412DC7"/>
    <w:rsid w:val="004A5D97"/>
    <w:rsid w:val="005025F8"/>
    <w:rsid w:val="00623571"/>
    <w:rsid w:val="00943A37"/>
    <w:rsid w:val="009F0831"/>
    <w:rsid w:val="00A83446"/>
    <w:rsid w:val="00AD0A82"/>
    <w:rsid w:val="00B01474"/>
    <w:rsid w:val="00C4738C"/>
    <w:rsid w:val="00CF1D98"/>
    <w:rsid w:val="00DB04D1"/>
    <w:rsid w:val="00E60656"/>
    <w:rsid w:val="00FB16D6"/>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5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D4D96"/>
    <w:rPr>
      <w:color w:val="808080"/>
    </w:rPr>
  </w:style>
  <w:style w:type="paragraph" w:customStyle="1" w:styleId="F93874C70D8C44D6B0BA71800E08656C4">
    <w:name w:val="F93874C70D8C44D6B0BA71800E08656C4"/>
    <w:rsid w:val="00623571"/>
    <w:pPr>
      <w:spacing w:after="280" w:line="240" w:lineRule="auto"/>
      <w:jc w:val="center"/>
      <w:outlineLvl w:val="0"/>
    </w:pPr>
    <w:rPr>
      <w:rFonts w:ascii="Arial" w:eastAsia="Times New Roman" w:hAnsi="Arial" w:cs="Times New Roman"/>
      <w:b/>
      <w:bCs/>
      <w:kern w:val="28"/>
      <w:sz w:val="18"/>
      <w:szCs w:val="32"/>
    </w:rPr>
  </w:style>
  <w:style w:type="paragraph" w:customStyle="1" w:styleId="38BA82FFF2774C26AC6862CFB8BB55DB3">
    <w:name w:val="38BA82FFF2774C26AC6862CFB8BB55DB3"/>
    <w:rsid w:val="00623571"/>
    <w:pPr>
      <w:spacing w:after="180" w:line="240" w:lineRule="auto"/>
      <w:jc w:val="center"/>
      <w:outlineLvl w:val="1"/>
    </w:pPr>
    <w:rPr>
      <w:rFonts w:ascii="Arial" w:eastAsia="Times New Roman" w:hAnsi="Arial" w:cs="Times New Roman"/>
      <w:b/>
      <w:sz w:val="18"/>
      <w:szCs w:val="24"/>
    </w:rPr>
  </w:style>
  <w:style w:type="paragraph" w:customStyle="1" w:styleId="8767CCE5C7C749C29833C80B52C2E5891">
    <w:name w:val="8767CCE5C7C749C29833C80B52C2E5891"/>
    <w:rsid w:val="00623571"/>
    <w:pPr>
      <w:tabs>
        <w:tab w:val="center" w:pos="4513"/>
        <w:tab w:val="right" w:pos="9026"/>
      </w:tabs>
      <w:spacing w:after="180" w:line="240" w:lineRule="auto"/>
      <w:jc w:val="both"/>
    </w:pPr>
    <w:rPr>
      <w:rFonts w:ascii="Arial" w:eastAsia="Times New Roman" w:hAnsi="Arial" w:cs="Times New Roman"/>
      <w:sz w:val="18"/>
      <w:szCs w:val="20"/>
    </w:rPr>
  </w:style>
  <w:style w:type="paragraph" w:customStyle="1" w:styleId="B046F90048CB4F0380F99889E7477724">
    <w:name w:val="B046F90048CB4F0380F99889E7477724"/>
    <w:rsid w:val="0062357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00022fe9-26d9-4c31-8678-3a6eabb28834" xsi:nil="true"/>
    <lcf76f155ced4ddcb4097134ff3c332f xmlns="64c78038-89ac-4195-83e1-1279128b6e0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EF259E3E31D224CBC1D2EE3CF76D9A2" ma:contentTypeVersion="16" ma:contentTypeDescription="Create a new document." ma:contentTypeScope="" ma:versionID="3b77a0fe2d9c5f5fa8446f74fbabbb68">
  <xsd:schema xmlns:xsd="http://www.w3.org/2001/XMLSchema" xmlns:xs="http://www.w3.org/2001/XMLSchema" xmlns:p="http://schemas.microsoft.com/office/2006/metadata/properties" xmlns:ns2="64c78038-89ac-4195-83e1-1279128b6e0c" xmlns:ns3="00022fe9-26d9-4c31-8678-3a6eabb28834" targetNamespace="http://schemas.microsoft.com/office/2006/metadata/properties" ma:root="true" ma:fieldsID="705ba04dbffd1ec234430b0dd9b096d0" ns2:_="" ns3:_="">
    <xsd:import namespace="64c78038-89ac-4195-83e1-1279128b6e0c"/>
    <xsd:import namespace="00022fe9-26d9-4c31-8678-3a6eabb2883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c78038-89ac-4195-83e1-1279128b6e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76672f0-0c0c-4f0d-ba1c-f52cb396b36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0022fe9-26d9-4c31-8678-3a6eabb2883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c0154c5-9d40-4264-885d-38a3ec9d1022}" ma:internalName="TaxCatchAll" ma:showField="CatchAllData" ma:web="00022fe9-26d9-4c31-8678-3a6eabb288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D06E51-7048-44CF-A7B4-9F7D6D30CF35}">
  <ds:schemaRefs>
    <ds:schemaRef ds:uri="http://schemas.openxmlformats.org/officeDocument/2006/bibliography"/>
  </ds:schemaRefs>
</ds:datastoreItem>
</file>

<file path=customXml/itemProps2.xml><?xml version="1.0" encoding="utf-8"?>
<ds:datastoreItem xmlns:ds="http://schemas.openxmlformats.org/officeDocument/2006/customXml" ds:itemID="{6030BD7A-820B-4079-A950-7F0AAC772676}">
  <ds:schemaRefs>
    <ds:schemaRef ds:uri="http://schemas.microsoft.com/office/2006/metadata/properties"/>
    <ds:schemaRef ds:uri="http://schemas.microsoft.com/office/infopath/2007/PartnerControls"/>
    <ds:schemaRef ds:uri="00022fe9-26d9-4c31-8678-3a6eabb28834"/>
    <ds:schemaRef ds:uri="64c78038-89ac-4195-83e1-1279128b6e0c"/>
  </ds:schemaRefs>
</ds:datastoreItem>
</file>

<file path=customXml/itemProps3.xml><?xml version="1.0" encoding="utf-8"?>
<ds:datastoreItem xmlns:ds="http://schemas.openxmlformats.org/officeDocument/2006/customXml" ds:itemID="{FCA5D22E-BE9C-4A4D-97B4-7D4C5D48F513}">
  <ds:schemaRefs>
    <ds:schemaRef ds:uri="http://schemas.microsoft.com/sharepoint/v3/contenttype/forms"/>
  </ds:schemaRefs>
</ds:datastoreItem>
</file>

<file path=customXml/itemProps4.xml><?xml version="1.0" encoding="utf-8"?>
<ds:datastoreItem xmlns:ds="http://schemas.openxmlformats.org/officeDocument/2006/customXml" ds:itemID="{A05217BA-055F-4F82-BB0F-E25D2461C8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c78038-89ac-4195-83e1-1279128b6e0c"/>
    <ds:schemaRef ds:uri="00022fe9-26d9-4c31-8678-3a6eabb288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2502</Words>
  <Characters>13121</Characters>
  <Application>Microsoft Office Word</Application>
  <DocSecurity>4</DocSecurity>
  <Lines>109</Lines>
  <Paragraphs>31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Drug Delivery to the Lungs 20</vt:lpstr>
      <vt:lpstr>Drug Delivery to the Lungs 20</vt:lpstr>
    </vt:vector>
  </TitlesOfParts>
  <Company>3M</Company>
  <LinksUpToDate>false</LinksUpToDate>
  <CharactersWithSpaces>15592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Drug Delivery to the Lungs 20</dc:title>
  <dc:creator>UK000470</dc:creator>
  <cp:lastModifiedBy>Sheila Coates</cp:lastModifiedBy>
  <cp:revision>2</cp:revision>
  <cp:lastPrinted>2015-06-18T14:58:00Z</cp:lastPrinted>
  <dcterms:created xsi:type="dcterms:W3CDTF">2023-10-13T14:45:00Z</dcterms:created>
  <dcterms:modified xsi:type="dcterms:W3CDTF">2023-10-13T14:45:00Z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0x0101009EF259E3E31D224CBC1D2EE3CF76D9A2</vt:lpwstr>
  </property>
  <property fmtid="{D5CDD505-2E9C-101B-9397-08002B2CF9AE}" pid="3" name="MediaServiceImageTags">
    <vt:lpwstr/>
  </property>
</Properties>
</file>