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36FD3CDF" w:rsidR="000E77D5" w:rsidRPr="005B0FA3" w:rsidRDefault="009472CD" w:rsidP="00AD115D">
      <w:pPr>
        <w:pStyle w:val="DDLTitle"/>
        <w:rPr>
          <w:szCs w:val="18"/>
        </w:rPr>
      </w:pPr>
      <w:sdt>
        <w:sdtPr>
          <w:rPr>
            <w:szCs w:val="18"/>
          </w:rPr>
          <w:alias w:val="Title"/>
          <w:tag w:val="Title"/>
          <w:id w:val="-912845432"/>
          <w:lock w:val="sdtLocked"/>
          <w:placeholder>
            <w:docPart w:val="F93874C70D8C44D6B0BA71800E08656C"/>
          </w:placeholder>
        </w:sdtPr>
        <w:sdtEndPr/>
        <w:sdtContent>
          <w:r w:rsidR="005B0FA3" w:rsidRPr="005B0FA3">
            <w:rPr>
              <w:szCs w:val="18"/>
            </w:rPr>
            <w:t xml:space="preserve">Of mice and men: Correlation and clinical relevance of animal models </w:t>
          </w:r>
          <w:r w:rsidR="00862BDB">
            <w:rPr>
              <w:szCs w:val="18"/>
            </w:rPr>
            <w:t>and non</w:t>
          </w:r>
          <w:r w:rsidR="00706395">
            <w:rPr>
              <w:szCs w:val="18"/>
            </w:rPr>
            <w:t>-</w:t>
          </w:r>
          <w:r w:rsidR="00862BDB">
            <w:rPr>
              <w:szCs w:val="18"/>
            </w:rPr>
            <w:t xml:space="preserve">clinical tests </w:t>
          </w:r>
          <w:r w:rsidR="005B0FA3" w:rsidRPr="005B0FA3">
            <w:rPr>
              <w:szCs w:val="18"/>
            </w:rPr>
            <w:t>for inhaled pharmaceuticals</w:t>
          </w:r>
        </w:sdtContent>
      </w:sdt>
      <w:bookmarkEnd w:id="0"/>
      <w:r w:rsidR="00881895" w:rsidRPr="005B0FA3">
        <w:rPr>
          <w:szCs w:val="18"/>
        </w:rPr>
        <w:t xml:space="preserve"> </w:t>
      </w:r>
    </w:p>
    <w:bookmarkStart w:id="1" w:name="Author"/>
    <w:p w14:paraId="57DCC0EC" w14:textId="423F1C7A" w:rsidR="00C65A37" w:rsidRPr="005B0FA3" w:rsidRDefault="009472CD" w:rsidP="00AD115D">
      <w:pPr>
        <w:pStyle w:val="DDLSubtitle"/>
        <w:rPr>
          <w:szCs w:val="18"/>
        </w:rPr>
      </w:pPr>
      <w:sdt>
        <w:sdtPr>
          <w:rPr>
            <w:szCs w:val="18"/>
            <w:u w:val="single"/>
          </w:rPr>
          <w:alias w:val="Main Author"/>
          <w:tag w:val="Main Author"/>
          <w:id w:val="854543900"/>
          <w:lock w:val="sdtLocked"/>
          <w:placeholder>
            <w:docPart w:val="38BA82FFF2774C26AC6862CFB8BB55DB"/>
          </w:placeholder>
        </w:sdtPr>
        <w:sdtEndPr/>
        <w:sdtContent>
          <w:r w:rsidR="005B0FA3" w:rsidRPr="005B0FA3">
            <w:rPr>
              <w:szCs w:val="18"/>
              <w:u w:val="single"/>
            </w:rPr>
            <w:t>Daniela Traini</w:t>
          </w:r>
        </w:sdtContent>
      </w:sdt>
      <w:bookmarkEnd w:id="1"/>
      <w:r w:rsidR="00676DA7" w:rsidRPr="005B0FA3">
        <w:rPr>
          <w:szCs w:val="18"/>
          <w:vertAlign w:val="superscript"/>
        </w:rPr>
        <w:t>1</w:t>
      </w:r>
      <w:r w:rsidR="00E22B40">
        <w:rPr>
          <w:szCs w:val="18"/>
          <w:vertAlign w:val="superscript"/>
        </w:rPr>
        <w:t>,2</w:t>
      </w:r>
    </w:p>
    <w:p w14:paraId="12A3039F" w14:textId="77777777" w:rsidR="005B0FA3" w:rsidRPr="005B0FA3" w:rsidRDefault="005B0FA3" w:rsidP="005B0FA3">
      <w:pPr>
        <w:pStyle w:val="DDLAddress1"/>
        <w:rPr>
          <w:szCs w:val="18"/>
        </w:rPr>
      </w:pPr>
      <w:r w:rsidRPr="005B0FA3">
        <w:rPr>
          <w:szCs w:val="18"/>
          <w:vertAlign w:val="superscript"/>
        </w:rPr>
        <w:t>1</w:t>
      </w:r>
      <w:r w:rsidRPr="005B0FA3">
        <w:rPr>
          <w:szCs w:val="18"/>
        </w:rPr>
        <w:t>Respiratory Technology, Woolcock Institute of Medical Research, Sydney, NSW 2037, Australia</w:t>
      </w:r>
    </w:p>
    <w:p w14:paraId="6415BF25" w14:textId="4017D727" w:rsidR="004B1542" w:rsidRPr="00B579BE" w:rsidRDefault="005B0FA3" w:rsidP="00B579BE">
      <w:pPr>
        <w:pStyle w:val="DDLAddress1"/>
        <w:rPr>
          <w:szCs w:val="18"/>
        </w:rPr>
      </w:pPr>
      <w:r w:rsidRPr="005B0FA3">
        <w:rPr>
          <w:szCs w:val="18"/>
        </w:rPr>
        <w:t xml:space="preserve"> </w:t>
      </w:r>
      <w:r w:rsidRPr="005B0FA3">
        <w:rPr>
          <w:szCs w:val="18"/>
          <w:vertAlign w:val="superscript"/>
        </w:rPr>
        <w:t>2</w:t>
      </w:r>
      <w:r w:rsidRPr="005B0FA3">
        <w:rPr>
          <w:szCs w:val="18"/>
        </w:rPr>
        <w:t xml:space="preserve">Macquarie Medical School, Department of Biological Sciences, Faculty of Medicine, Health and Human Sciences, Macquarie University, NSW 2109, Australia </w:t>
      </w:r>
    </w:p>
    <w:p w14:paraId="3E622C86" w14:textId="77777777" w:rsidR="00B579BE" w:rsidRDefault="00B579BE" w:rsidP="001A376F">
      <w:pPr>
        <w:pStyle w:val="DDLBodyText"/>
        <w:rPr>
          <w:b/>
          <w:bCs/>
          <w:sz w:val="20"/>
        </w:rPr>
      </w:pPr>
    </w:p>
    <w:p w14:paraId="57DCC0EF" w14:textId="712B6B27" w:rsidR="00C65A37" w:rsidRPr="004B1542" w:rsidRDefault="00C65A37" w:rsidP="001A376F">
      <w:pPr>
        <w:pStyle w:val="DDLBodyText"/>
        <w:rPr>
          <w:b/>
          <w:bCs/>
          <w:color w:val="000000" w:themeColor="text1"/>
          <w:sz w:val="20"/>
          <w:highlight w:val="yellow"/>
        </w:rPr>
      </w:pPr>
      <w:r w:rsidRPr="004B1542">
        <w:rPr>
          <w:b/>
          <w:bCs/>
          <w:sz w:val="20"/>
        </w:rPr>
        <w:t>Summary</w:t>
      </w:r>
      <w:r w:rsidR="001A376F" w:rsidRPr="004B1542">
        <w:rPr>
          <w:b/>
          <w:bCs/>
          <w:color w:val="000000" w:themeColor="text1"/>
          <w:sz w:val="20"/>
          <w:highlight w:val="yellow"/>
        </w:rPr>
        <w:t xml:space="preserve"> </w:t>
      </w:r>
    </w:p>
    <w:p w14:paraId="4376C186" w14:textId="57E7C2DD" w:rsidR="001A376F" w:rsidRPr="004B1542" w:rsidRDefault="00A32640" w:rsidP="00D156FE">
      <w:pPr>
        <w:pStyle w:val="DDLBodyText"/>
        <w:rPr>
          <w:rFonts w:cs="Arial"/>
          <w:bCs/>
          <w:sz w:val="20"/>
          <w:shd w:val="clear" w:color="auto" w:fill="FFFFFF"/>
        </w:rPr>
      </w:pPr>
      <w:r w:rsidRPr="004B1542">
        <w:rPr>
          <w:color w:val="000000" w:themeColor="text1"/>
          <w:sz w:val="20"/>
        </w:rPr>
        <w:t xml:space="preserve">With the new </w:t>
      </w:r>
      <w:r w:rsidRPr="004B1542">
        <w:rPr>
          <w:rStyle w:val="Strong"/>
          <w:rFonts w:cs="Arial"/>
          <w:b w:val="0"/>
          <w:sz w:val="20"/>
          <w:shd w:val="clear" w:color="auto" w:fill="FFFFFF"/>
        </w:rPr>
        <w:t xml:space="preserve">FDA Modernization Act of 2022, </w:t>
      </w:r>
      <w:r w:rsidRPr="004B1542">
        <w:rPr>
          <w:sz w:val="20"/>
        </w:rPr>
        <w:t xml:space="preserve">the agency now has the option to approve drugs and </w:t>
      </w:r>
      <w:r w:rsidR="00F8717D" w:rsidRPr="004B1542">
        <w:rPr>
          <w:sz w:val="20"/>
        </w:rPr>
        <w:t>bio</w:t>
      </w:r>
      <w:r w:rsidR="00D94BB7">
        <w:rPr>
          <w:sz w:val="20"/>
        </w:rPr>
        <w:t>molecules</w:t>
      </w:r>
      <w:r w:rsidRPr="004B1542">
        <w:rPr>
          <w:sz w:val="20"/>
        </w:rPr>
        <w:t xml:space="preserve"> that are tested in only non-</w:t>
      </w:r>
      <w:r w:rsidR="00AB5E96">
        <w:rPr>
          <w:sz w:val="20"/>
        </w:rPr>
        <w:t>clinical</w:t>
      </w:r>
      <w:r w:rsidR="00AB5E96" w:rsidRPr="004B1542">
        <w:rPr>
          <w:sz w:val="20"/>
        </w:rPr>
        <w:t xml:space="preserve"> </w:t>
      </w:r>
      <w:r w:rsidRPr="004B1542">
        <w:rPr>
          <w:sz w:val="20"/>
        </w:rPr>
        <w:t>studies</w:t>
      </w:r>
      <w:r w:rsidR="00AB5E96">
        <w:rPr>
          <w:sz w:val="20"/>
        </w:rPr>
        <w:t>, including</w:t>
      </w:r>
      <w:r w:rsidR="001834C8">
        <w:rPr>
          <w:sz w:val="20"/>
        </w:rPr>
        <w:t xml:space="preserve"> </w:t>
      </w:r>
      <w:r w:rsidR="00AB5E96">
        <w:rPr>
          <w:sz w:val="20"/>
        </w:rPr>
        <w:t xml:space="preserve">those that </w:t>
      </w:r>
      <w:r w:rsidR="0072212A">
        <w:rPr>
          <w:sz w:val="20"/>
        </w:rPr>
        <w:t>use</w:t>
      </w:r>
      <w:r w:rsidR="00AB5E96">
        <w:rPr>
          <w:sz w:val="20"/>
        </w:rPr>
        <w:t xml:space="preserve"> </w:t>
      </w:r>
      <w:r w:rsidRPr="004B1542">
        <w:rPr>
          <w:sz w:val="20"/>
        </w:rPr>
        <w:t>cell</w:t>
      </w:r>
      <w:r w:rsidR="00AB5E96">
        <w:rPr>
          <w:sz w:val="20"/>
        </w:rPr>
        <w:t xml:space="preserve">s </w:t>
      </w:r>
      <w:r w:rsidRPr="004B1542">
        <w:rPr>
          <w:sz w:val="20"/>
        </w:rPr>
        <w:t>and lab-grown tissues</w:t>
      </w:r>
      <w:r w:rsidR="001834C8">
        <w:rPr>
          <w:sz w:val="20"/>
        </w:rPr>
        <w:t>,</w:t>
      </w:r>
      <w:r w:rsidRPr="004B1542">
        <w:rPr>
          <w:sz w:val="20"/>
        </w:rPr>
        <w:t xml:space="preserve"> such </w:t>
      </w:r>
      <w:r w:rsidR="00F8717D" w:rsidRPr="004B1542">
        <w:rPr>
          <w:sz w:val="20"/>
        </w:rPr>
        <w:t>as organs</w:t>
      </w:r>
      <w:r w:rsidRPr="004B1542">
        <w:rPr>
          <w:sz w:val="20"/>
        </w:rPr>
        <w:t xml:space="preserve"> on a chip</w:t>
      </w:r>
      <w:r w:rsidR="001834C8">
        <w:rPr>
          <w:sz w:val="20"/>
        </w:rPr>
        <w:t>,</w:t>
      </w:r>
      <w:r w:rsidRPr="004B1542">
        <w:rPr>
          <w:sz w:val="20"/>
        </w:rPr>
        <w:t xml:space="preserve"> or computer models, </w:t>
      </w:r>
      <w:r w:rsidR="00AB5E96">
        <w:rPr>
          <w:sz w:val="20"/>
        </w:rPr>
        <w:t>before being tested</w:t>
      </w:r>
      <w:r w:rsidR="001834C8" w:rsidRPr="004B1542">
        <w:rPr>
          <w:sz w:val="20"/>
        </w:rPr>
        <w:t xml:space="preserve"> </w:t>
      </w:r>
      <w:r w:rsidRPr="004B1542">
        <w:rPr>
          <w:sz w:val="20"/>
        </w:rPr>
        <w:t xml:space="preserve">in human clinical trials. </w:t>
      </w:r>
      <w:r w:rsidR="007E76F2" w:rsidRPr="004B1542">
        <w:rPr>
          <w:sz w:val="20"/>
        </w:rPr>
        <w:t xml:space="preserve">Although this is probably </w:t>
      </w:r>
      <w:r w:rsidR="00AB5E96">
        <w:rPr>
          <w:sz w:val="20"/>
        </w:rPr>
        <w:t xml:space="preserve">going to be </w:t>
      </w:r>
      <w:r w:rsidR="007E76F2" w:rsidRPr="004B1542">
        <w:rPr>
          <w:sz w:val="20"/>
        </w:rPr>
        <w:t xml:space="preserve">a slow </w:t>
      </w:r>
      <w:r w:rsidR="009B0509" w:rsidRPr="004B1542">
        <w:rPr>
          <w:sz w:val="20"/>
        </w:rPr>
        <w:t>change</w:t>
      </w:r>
      <w:r w:rsidR="007E76F2" w:rsidRPr="004B1542">
        <w:rPr>
          <w:sz w:val="20"/>
        </w:rPr>
        <w:t xml:space="preserve"> and not a tsunami that will </w:t>
      </w:r>
      <w:r w:rsidR="00F8717D" w:rsidRPr="004B1542">
        <w:rPr>
          <w:sz w:val="20"/>
        </w:rPr>
        <w:t>transform</w:t>
      </w:r>
      <w:r w:rsidR="007E76F2" w:rsidRPr="004B1542">
        <w:rPr>
          <w:sz w:val="20"/>
        </w:rPr>
        <w:t xml:space="preserve"> the drug approval process overnight, now is probably the time to start reviewing </w:t>
      </w:r>
      <w:r w:rsidR="00AB5E96">
        <w:rPr>
          <w:sz w:val="20"/>
        </w:rPr>
        <w:t xml:space="preserve">the status quo on </w:t>
      </w:r>
      <w:r w:rsidR="00AB5E96" w:rsidRPr="004B1542">
        <w:rPr>
          <w:sz w:val="20"/>
        </w:rPr>
        <w:t>what are the reasons behind current inhalation drug development preclinical models,</w:t>
      </w:r>
      <w:r w:rsidR="00AB5E96">
        <w:rPr>
          <w:sz w:val="20"/>
        </w:rPr>
        <w:t xml:space="preserve"> what</w:t>
      </w:r>
      <w:r w:rsidR="007E76F2" w:rsidRPr="004B1542">
        <w:rPr>
          <w:sz w:val="20"/>
        </w:rPr>
        <w:t xml:space="preserve"> </w:t>
      </w:r>
      <w:r w:rsidR="00AB5E96">
        <w:rPr>
          <w:sz w:val="20"/>
        </w:rPr>
        <w:t xml:space="preserve">alternative models </w:t>
      </w:r>
      <w:r w:rsidR="007E76F2" w:rsidRPr="004B1542">
        <w:rPr>
          <w:sz w:val="20"/>
        </w:rPr>
        <w:t xml:space="preserve">are available and how the research community is considering </w:t>
      </w:r>
      <w:r w:rsidR="00AB5E96">
        <w:rPr>
          <w:sz w:val="20"/>
        </w:rPr>
        <w:t xml:space="preserve">this field </w:t>
      </w:r>
      <w:r w:rsidR="007E76F2" w:rsidRPr="004B1542">
        <w:rPr>
          <w:sz w:val="20"/>
        </w:rPr>
        <w:t>moving forward.</w:t>
      </w:r>
      <w:r w:rsidR="001A376F" w:rsidRPr="004B1542">
        <w:rPr>
          <w:rStyle w:val="Strong"/>
          <w:rFonts w:cs="Arial"/>
          <w:b w:val="0"/>
          <w:sz w:val="20"/>
          <w:shd w:val="clear" w:color="auto" w:fill="FFFFFF"/>
        </w:rPr>
        <w:t xml:space="preserve"> For many years</w:t>
      </w:r>
      <w:r w:rsidR="001834C8">
        <w:rPr>
          <w:rStyle w:val="Strong"/>
          <w:rFonts w:cs="Arial"/>
          <w:b w:val="0"/>
          <w:sz w:val="20"/>
          <w:shd w:val="clear" w:color="auto" w:fill="FFFFFF"/>
        </w:rPr>
        <w:t xml:space="preserve">, </w:t>
      </w:r>
      <w:r w:rsidR="001A376F" w:rsidRPr="004B1542">
        <w:rPr>
          <w:sz w:val="20"/>
        </w:rPr>
        <w:t xml:space="preserve">we have been stuck in a particular conceptual mode of </w:t>
      </w:r>
      <w:r w:rsidR="00AB5E96">
        <w:rPr>
          <w:sz w:val="20"/>
        </w:rPr>
        <w:t>doing research</w:t>
      </w:r>
      <w:r w:rsidR="001A376F" w:rsidRPr="004B1542">
        <w:rPr>
          <w:sz w:val="20"/>
        </w:rPr>
        <w:t xml:space="preserve">, but with this amendment in policy change will arise as the weight of the evidence for </w:t>
      </w:r>
      <w:r w:rsidR="00F8717D" w:rsidRPr="004B1542">
        <w:rPr>
          <w:sz w:val="20"/>
        </w:rPr>
        <w:t>alternative</w:t>
      </w:r>
      <w:r w:rsidR="001A376F" w:rsidRPr="004B1542">
        <w:rPr>
          <w:sz w:val="20"/>
        </w:rPr>
        <w:t xml:space="preserve"> tools becomes more robust and uniformly </w:t>
      </w:r>
      <w:r w:rsidR="009B0509" w:rsidRPr="004B1542">
        <w:rPr>
          <w:sz w:val="20"/>
        </w:rPr>
        <w:t xml:space="preserve">accepted and </w:t>
      </w:r>
      <w:r w:rsidR="001A376F" w:rsidRPr="004B1542">
        <w:rPr>
          <w:sz w:val="20"/>
        </w:rPr>
        <w:t xml:space="preserve">validated. </w:t>
      </w:r>
      <w:r w:rsidRPr="004B1542">
        <w:rPr>
          <w:sz w:val="20"/>
        </w:rPr>
        <w:t>In this paper</w:t>
      </w:r>
      <w:r w:rsidR="00F8717D" w:rsidRPr="004B1542">
        <w:rPr>
          <w:sz w:val="20"/>
        </w:rPr>
        <w:t>,</w:t>
      </w:r>
      <w:r w:rsidRPr="004B1542">
        <w:rPr>
          <w:sz w:val="20"/>
        </w:rPr>
        <w:t xml:space="preserve"> a </w:t>
      </w:r>
      <w:r w:rsidR="009B0509" w:rsidRPr="004B1542">
        <w:rPr>
          <w:sz w:val="20"/>
        </w:rPr>
        <w:t xml:space="preserve">review of </w:t>
      </w:r>
      <w:r w:rsidR="00AB5E96">
        <w:rPr>
          <w:sz w:val="20"/>
        </w:rPr>
        <w:t>current</w:t>
      </w:r>
      <w:r w:rsidR="009B0509" w:rsidRPr="004B1542">
        <w:rPr>
          <w:sz w:val="20"/>
        </w:rPr>
        <w:t xml:space="preserve"> and </w:t>
      </w:r>
      <w:r w:rsidR="00F8717D" w:rsidRPr="004B1542">
        <w:rPr>
          <w:sz w:val="20"/>
        </w:rPr>
        <w:t xml:space="preserve">novel </w:t>
      </w:r>
      <w:r w:rsidR="009B0509" w:rsidRPr="004B1542">
        <w:rPr>
          <w:sz w:val="20"/>
        </w:rPr>
        <w:t xml:space="preserve">research on this topic </w:t>
      </w:r>
      <w:r w:rsidRPr="004B1542">
        <w:rPr>
          <w:sz w:val="20"/>
        </w:rPr>
        <w:t xml:space="preserve">will be </w:t>
      </w:r>
      <w:r w:rsidR="001A376F" w:rsidRPr="004B1542">
        <w:rPr>
          <w:sz w:val="20"/>
        </w:rPr>
        <w:t>presented</w:t>
      </w:r>
      <w:r w:rsidR="00AB5E96">
        <w:rPr>
          <w:sz w:val="20"/>
        </w:rPr>
        <w:t>, and the author provide</w:t>
      </w:r>
      <w:r w:rsidR="001834C8">
        <w:rPr>
          <w:sz w:val="20"/>
        </w:rPr>
        <w:t xml:space="preserve"> </w:t>
      </w:r>
      <w:r w:rsidRPr="004B1542">
        <w:rPr>
          <w:sz w:val="20"/>
        </w:rPr>
        <w:t xml:space="preserve">possible future directions </w:t>
      </w:r>
      <w:r w:rsidR="00F8717D" w:rsidRPr="004B1542">
        <w:rPr>
          <w:sz w:val="20"/>
        </w:rPr>
        <w:t>in</w:t>
      </w:r>
      <w:r w:rsidRPr="004B1542">
        <w:rPr>
          <w:sz w:val="20"/>
        </w:rPr>
        <w:t xml:space="preserve"> this exciting field.  </w:t>
      </w:r>
    </w:p>
    <w:p w14:paraId="57DCC0F1" w14:textId="7120AF60" w:rsidR="00E14DBF" w:rsidRPr="004B1542" w:rsidRDefault="00E14DBF" w:rsidP="00D156FE">
      <w:pPr>
        <w:pStyle w:val="DDLBodyText"/>
        <w:rPr>
          <w:b/>
          <w:sz w:val="20"/>
        </w:rPr>
      </w:pPr>
      <w:r w:rsidRPr="004B1542">
        <w:rPr>
          <w:b/>
          <w:sz w:val="20"/>
        </w:rPr>
        <w:t>Key Message</w:t>
      </w:r>
      <w:r w:rsidR="00277958" w:rsidRPr="004B1542">
        <w:rPr>
          <w:b/>
          <w:sz w:val="20"/>
        </w:rPr>
        <w:t xml:space="preserve"> </w:t>
      </w:r>
    </w:p>
    <w:p w14:paraId="70E013A7" w14:textId="179A3319" w:rsidR="00E04274" w:rsidRPr="004B1542" w:rsidRDefault="00E22B40" w:rsidP="00A32640">
      <w:pPr>
        <w:pStyle w:val="DDLBodyText"/>
        <w:rPr>
          <w:rStyle w:val="Strong"/>
          <w:rFonts w:cs="Arial"/>
          <w:b w:val="0"/>
          <w:sz w:val="20"/>
          <w:shd w:val="clear" w:color="auto" w:fill="FFFFFF"/>
        </w:rPr>
      </w:pPr>
      <w:r w:rsidRPr="004B1542">
        <w:rPr>
          <w:rStyle w:val="Strong"/>
          <w:rFonts w:cs="Arial"/>
          <w:b w:val="0"/>
          <w:sz w:val="20"/>
          <w:shd w:val="clear" w:color="auto" w:fill="FFFFFF"/>
        </w:rPr>
        <w:t xml:space="preserve">Overall, the FDA Modernization Act of 2022 is a relatively small piece of legislation, but </w:t>
      </w:r>
      <w:r w:rsidR="00307D7A" w:rsidRPr="004B1542">
        <w:rPr>
          <w:rStyle w:val="Strong"/>
          <w:rFonts w:cs="Arial"/>
          <w:b w:val="0"/>
          <w:sz w:val="20"/>
          <w:shd w:val="clear" w:color="auto" w:fill="FFFFFF"/>
        </w:rPr>
        <w:t>with continuing advances in ‘humanised technologies</w:t>
      </w:r>
      <w:r w:rsidR="00B579BE">
        <w:rPr>
          <w:rStyle w:val="Strong"/>
          <w:rFonts w:cs="Arial"/>
          <w:b w:val="0"/>
          <w:sz w:val="20"/>
          <w:shd w:val="clear" w:color="auto" w:fill="FFFFFF"/>
        </w:rPr>
        <w:t>,</w:t>
      </w:r>
      <w:r w:rsidR="00307D7A" w:rsidRPr="004B1542">
        <w:rPr>
          <w:rStyle w:val="Strong"/>
          <w:rFonts w:cs="Arial"/>
          <w:b w:val="0"/>
          <w:sz w:val="20"/>
          <w:shd w:val="clear" w:color="auto" w:fill="FFFFFF"/>
        </w:rPr>
        <w:t>’</w:t>
      </w:r>
      <w:r w:rsidR="00E04274" w:rsidRPr="004B1542">
        <w:rPr>
          <w:rStyle w:val="Strong"/>
          <w:rFonts w:cs="Arial"/>
          <w:b w:val="0"/>
          <w:sz w:val="20"/>
          <w:shd w:val="clear" w:color="auto" w:fill="FFFFFF"/>
        </w:rPr>
        <w:t xml:space="preserve"> </w:t>
      </w:r>
      <w:r w:rsidR="00307D7A" w:rsidRPr="004B1542">
        <w:rPr>
          <w:rStyle w:val="Strong"/>
          <w:rFonts w:cs="Arial"/>
          <w:b w:val="0"/>
          <w:sz w:val="20"/>
          <w:shd w:val="clear" w:color="auto" w:fill="FFFFFF"/>
        </w:rPr>
        <w:t xml:space="preserve">this change could have far-reaching impacts on how these new approaches could help </w:t>
      </w:r>
      <w:r w:rsidR="00E04274" w:rsidRPr="004B1542">
        <w:rPr>
          <w:rStyle w:val="Strong"/>
          <w:rFonts w:cs="Arial"/>
          <w:b w:val="0"/>
          <w:sz w:val="20"/>
          <w:shd w:val="clear" w:color="auto" w:fill="FFFFFF"/>
        </w:rPr>
        <w:t xml:space="preserve">improve clinical translatability, </w:t>
      </w:r>
      <w:r w:rsidR="001834C8" w:rsidRPr="004B1542">
        <w:rPr>
          <w:rStyle w:val="Strong"/>
          <w:rFonts w:cs="Arial"/>
          <w:b w:val="0"/>
          <w:sz w:val="20"/>
          <w:shd w:val="clear" w:color="auto" w:fill="FFFFFF"/>
        </w:rPr>
        <w:t>increas</w:t>
      </w:r>
      <w:r w:rsidR="001834C8">
        <w:rPr>
          <w:rStyle w:val="Strong"/>
          <w:rFonts w:cs="Arial"/>
          <w:b w:val="0"/>
          <w:sz w:val="20"/>
          <w:shd w:val="clear" w:color="auto" w:fill="FFFFFF"/>
        </w:rPr>
        <w:t>e</w:t>
      </w:r>
      <w:r w:rsidR="001834C8" w:rsidRPr="004B1542">
        <w:rPr>
          <w:rStyle w:val="Strong"/>
          <w:rFonts w:cs="Arial"/>
          <w:b w:val="0"/>
          <w:sz w:val="20"/>
          <w:shd w:val="clear" w:color="auto" w:fill="FFFFFF"/>
        </w:rPr>
        <w:t xml:space="preserve"> </w:t>
      </w:r>
      <w:r w:rsidR="00E04274" w:rsidRPr="004B1542">
        <w:rPr>
          <w:rStyle w:val="Strong"/>
          <w:rFonts w:cs="Arial"/>
          <w:b w:val="0"/>
          <w:sz w:val="20"/>
          <w:shd w:val="clear" w:color="auto" w:fill="FFFFFF"/>
        </w:rPr>
        <w:t xml:space="preserve">discovery success rates </w:t>
      </w:r>
      <w:r w:rsidR="001834C8">
        <w:rPr>
          <w:rStyle w:val="Strong"/>
          <w:rFonts w:cs="Arial"/>
          <w:b w:val="0"/>
          <w:sz w:val="20"/>
          <w:shd w:val="clear" w:color="auto" w:fill="FFFFFF"/>
        </w:rPr>
        <w:t>while</w:t>
      </w:r>
      <w:r w:rsidR="00E04274" w:rsidRPr="004B1542">
        <w:rPr>
          <w:rStyle w:val="Strong"/>
          <w:rFonts w:cs="Arial"/>
          <w:b w:val="0"/>
          <w:sz w:val="20"/>
          <w:shd w:val="clear" w:color="auto" w:fill="FFFFFF"/>
        </w:rPr>
        <w:t xml:space="preserve"> limiting </w:t>
      </w:r>
      <w:r w:rsidR="00E04274" w:rsidRPr="004B1542">
        <w:rPr>
          <w:rStyle w:val="Strong"/>
          <w:rFonts w:cs="Arial"/>
          <w:b w:val="0"/>
          <w:i/>
          <w:iCs/>
          <w:sz w:val="20"/>
          <w:shd w:val="clear" w:color="auto" w:fill="FFFFFF"/>
        </w:rPr>
        <w:t>in vivo</w:t>
      </w:r>
      <w:r w:rsidR="00E04274" w:rsidRPr="004B1542">
        <w:rPr>
          <w:rStyle w:val="Strong"/>
          <w:rFonts w:cs="Arial"/>
          <w:b w:val="0"/>
          <w:sz w:val="20"/>
          <w:shd w:val="clear" w:color="auto" w:fill="FFFFFF"/>
        </w:rPr>
        <w:t xml:space="preserve"> </w:t>
      </w:r>
      <w:r w:rsidR="00AB5E96">
        <w:rPr>
          <w:rStyle w:val="Strong"/>
          <w:rFonts w:cs="Arial"/>
          <w:b w:val="0"/>
          <w:sz w:val="20"/>
          <w:shd w:val="clear" w:color="auto" w:fill="FFFFFF"/>
        </w:rPr>
        <w:t xml:space="preserve">animal </w:t>
      </w:r>
      <w:r w:rsidR="00E04274" w:rsidRPr="004B1542">
        <w:rPr>
          <w:rStyle w:val="Strong"/>
          <w:rFonts w:cs="Arial"/>
          <w:b w:val="0"/>
          <w:sz w:val="20"/>
          <w:shd w:val="clear" w:color="auto" w:fill="FFFFFF"/>
        </w:rPr>
        <w:t>studies.</w:t>
      </w:r>
      <w:r w:rsidR="001A376F" w:rsidRPr="004B1542">
        <w:rPr>
          <w:rStyle w:val="Strong"/>
          <w:rFonts w:cs="Arial"/>
          <w:b w:val="0"/>
          <w:sz w:val="20"/>
          <w:shd w:val="clear" w:color="auto" w:fill="FFFFFF"/>
        </w:rPr>
        <w:t xml:space="preserve"> </w:t>
      </w:r>
    </w:p>
    <w:p w14:paraId="57DCC0F3" w14:textId="77777777" w:rsidR="00C65A37" w:rsidRPr="004B1542" w:rsidRDefault="00C65A37" w:rsidP="00D156FE">
      <w:pPr>
        <w:pStyle w:val="DDLHeading1"/>
        <w:rPr>
          <w:sz w:val="20"/>
          <w:szCs w:val="20"/>
        </w:rPr>
      </w:pPr>
      <w:r w:rsidRPr="004B1542">
        <w:rPr>
          <w:sz w:val="20"/>
          <w:szCs w:val="20"/>
        </w:rPr>
        <w:t>Introduction</w:t>
      </w:r>
    </w:p>
    <w:p w14:paraId="453FA0C7" w14:textId="2A2629C2" w:rsidR="00244C17" w:rsidRPr="004B1542" w:rsidRDefault="00592A49" w:rsidP="00592A49">
      <w:pPr>
        <w:rPr>
          <w:sz w:val="20"/>
        </w:rPr>
      </w:pPr>
      <w:r w:rsidRPr="004B1542">
        <w:rPr>
          <w:sz w:val="20"/>
        </w:rPr>
        <w:t>On the 29th of September 2022 the U.S. Senate unanimously passed Bill S. 5002, the “FDA Modernization Act 2.0.”, approved by the U.S. House On Dec 23</w:t>
      </w:r>
      <w:r w:rsidRPr="001A0273">
        <w:rPr>
          <w:sz w:val="20"/>
          <w:vertAlign w:val="superscript"/>
        </w:rPr>
        <w:t>rd</w:t>
      </w:r>
      <w:r w:rsidR="001A0273">
        <w:rPr>
          <w:sz w:val="20"/>
        </w:rPr>
        <w:t>,</w:t>
      </w:r>
      <w:r w:rsidRPr="004B1542">
        <w:rPr>
          <w:sz w:val="20"/>
        </w:rPr>
        <w:t xml:space="preserve"> 2022 </w:t>
      </w:r>
      <w:r w:rsidR="00B7603A" w:rsidRPr="004B1542">
        <w:rPr>
          <w:noProof/>
          <w:sz w:val="20"/>
        </w:rPr>
        <w:t>[1]</w:t>
      </w:r>
      <w:r w:rsidRPr="004B1542">
        <w:rPr>
          <w:sz w:val="20"/>
        </w:rPr>
        <w:t xml:space="preserve">. </w:t>
      </w:r>
      <w:r w:rsidR="000F6414">
        <w:rPr>
          <w:sz w:val="20"/>
        </w:rPr>
        <w:t>T</w:t>
      </w:r>
      <w:r w:rsidRPr="004B1542">
        <w:rPr>
          <w:sz w:val="20"/>
        </w:rPr>
        <w:t xml:space="preserve">he agency now has the option to approve drugs and </w:t>
      </w:r>
      <w:r w:rsidR="00F8717D" w:rsidRPr="004B1542">
        <w:rPr>
          <w:sz w:val="20"/>
        </w:rPr>
        <w:t>bio</w:t>
      </w:r>
      <w:r w:rsidR="00AB5E96">
        <w:rPr>
          <w:sz w:val="20"/>
        </w:rPr>
        <w:t>molecules</w:t>
      </w:r>
      <w:r w:rsidR="001834C8">
        <w:rPr>
          <w:sz w:val="20"/>
        </w:rPr>
        <w:t xml:space="preserve"> clinical trials based on </w:t>
      </w:r>
      <w:r w:rsidR="0072212A">
        <w:rPr>
          <w:sz w:val="20"/>
        </w:rPr>
        <w:t>non-</w:t>
      </w:r>
      <w:r w:rsidR="00D94BB7">
        <w:rPr>
          <w:sz w:val="20"/>
        </w:rPr>
        <w:t>clinical</w:t>
      </w:r>
      <w:r w:rsidR="0072212A">
        <w:rPr>
          <w:sz w:val="20"/>
        </w:rPr>
        <w:t>-based</w:t>
      </w:r>
      <w:r w:rsidR="001834C8">
        <w:rPr>
          <w:sz w:val="20"/>
        </w:rPr>
        <w:t xml:space="preserve"> pre-</w:t>
      </w:r>
      <w:r w:rsidR="009E5787">
        <w:rPr>
          <w:sz w:val="20"/>
        </w:rPr>
        <w:t>clinical models</w:t>
      </w:r>
      <w:r w:rsidRPr="004B1542">
        <w:rPr>
          <w:sz w:val="20"/>
        </w:rPr>
        <w:t>, including those that use cells and lab-grown tissues</w:t>
      </w:r>
      <w:r w:rsidR="001D0EDD" w:rsidRPr="004B1542">
        <w:rPr>
          <w:sz w:val="20"/>
        </w:rPr>
        <w:t xml:space="preserve"> such </w:t>
      </w:r>
      <w:r w:rsidR="00277958" w:rsidRPr="004B1542">
        <w:rPr>
          <w:sz w:val="20"/>
        </w:rPr>
        <w:t xml:space="preserve">as </w:t>
      </w:r>
      <w:r w:rsidR="00F8717D" w:rsidRPr="004B1542">
        <w:rPr>
          <w:sz w:val="20"/>
        </w:rPr>
        <w:t>organs</w:t>
      </w:r>
      <w:r w:rsidR="001D0EDD" w:rsidRPr="004B1542">
        <w:rPr>
          <w:sz w:val="20"/>
        </w:rPr>
        <w:t xml:space="preserve"> on a chip</w:t>
      </w:r>
      <w:r w:rsidRPr="004B1542">
        <w:rPr>
          <w:sz w:val="20"/>
        </w:rPr>
        <w:t xml:space="preserve"> or computer models. This is a radical shift by an agency that for the past 80 years has been very conservative regarding the safety and efficacy of drugs. </w:t>
      </w:r>
      <w:r w:rsidR="008779F3" w:rsidRPr="004B1542">
        <w:rPr>
          <w:sz w:val="20"/>
        </w:rPr>
        <w:t xml:space="preserve">It introduces regulatory flexibility regarding the acceptance of alternative testing data and </w:t>
      </w:r>
      <w:r w:rsidR="00277958" w:rsidRPr="004B1542">
        <w:rPr>
          <w:sz w:val="20"/>
        </w:rPr>
        <w:t>acknowledges</w:t>
      </w:r>
      <w:r w:rsidR="008779F3" w:rsidRPr="004B1542">
        <w:rPr>
          <w:sz w:val="20"/>
        </w:rPr>
        <w:t xml:space="preserve"> the pharmaceutical and technological advances achieved in </w:t>
      </w:r>
      <w:r w:rsidR="00FC6198" w:rsidRPr="004B1542">
        <w:rPr>
          <w:sz w:val="20"/>
        </w:rPr>
        <w:t xml:space="preserve">complementary </w:t>
      </w:r>
      <w:r w:rsidR="00FC6198" w:rsidRPr="004B1542">
        <w:rPr>
          <w:i/>
          <w:iCs/>
          <w:sz w:val="20"/>
        </w:rPr>
        <w:t>in vitro</w:t>
      </w:r>
      <w:r w:rsidR="008779F3" w:rsidRPr="004B1542">
        <w:rPr>
          <w:sz w:val="20"/>
        </w:rPr>
        <w:t xml:space="preserve"> </w:t>
      </w:r>
      <w:r w:rsidR="00FC6198" w:rsidRPr="004B1542">
        <w:rPr>
          <w:sz w:val="20"/>
        </w:rPr>
        <w:t xml:space="preserve">tests vs conventional animal tests. </w:t>
      </w:r>
      <w:r w:rsidR="00751E87" w:rsidRPr="004B1542">
        <w:rPr>
          <w:sz w:val="20"/>
        </w:rPr>
        <w:t>Though</w:t>
      </w:r>
      <w:r w:rsidR="00FC6198" w:rsidRPr="004B1542">
        <w:rPr>
          <w:sz w:val="20"/>
        </w:rPr>
        <w:t xml:space="preserve"> it pushes academia and industry to keep exploring these novel </w:t>
      </w:r>
      <w:r w:rsidR="00D94BB7" w:rsidRPr="004B1542">
        <w:rPr>
          <w:sz w:val="20"/>
        </w:rPr>
        <w:t>alternatives</w:t>
      </w:r>
      <w:r w:rsidR="00D94BB7">
        <w:rPr>
          <w:sz w:val="20"/>
        </w:rPr>
        <w:t xml:space="preserve"> and</w:t>
      </w:r>
      <w:r w:rsidR="00AB5E96">
        <w:rPr>
          <w:sz w:val="20"/>
        </w:rPr>
        <w:t xml:space="preserve"> develop more representative models </w:t>
      </w:r>
      <w:r w:rsidR="00AB5E96" w:rsidRPr="004B1542">
        <w:rPr>
          <w:sz w:val="20"/>
        </w:rPr>
        <w:t>toward</w:t>
      </w:r>
      <w:r w:rsidR="00AB5E96">
        <w:rPr>
          <w:sz w:val="20"/>
        </w:rPr>
        <w:t xml:space="preserve">s </w:t>
      </w:r>
      <w:r w:rsidR="00FC6198" w:rsidRPr="004B1542">
        <w:rPr>
          <w:sz w:val="20"/>
        </w:rPr>
        <w:t xml:space="preserve">reducing </w:t>
      </w:r>
      <w:r w:rsidR="00F5215D">
        <w:rPr>
          <w:sz w:val="20"/>
        </w:rPr>
        <w:t>and/</w:t>
      </w:r>
      <w:r w:rsidR="00FC6198" w:rsidRPr="004B1542">
        <w:rPr>
          <w:sz w:val="20"/>
        </w:rPr>
        <w:t xml:space="preserve">or possibly replacing the need </w:t>
      </w:r>
      <w:r w:rsidR="00277958" w:rsidRPr="004B1542">
        <w:rPr>
          <w:sz w:val="20"/>
        </w:rPr>
        <w:t>for</w:t>
      </w:r>
      <w:r w:rsidR="00FC6198" w:rsidRPr="004B1542">
        <w:rPr>
          <w:sz w:val="20"/>
        </w:rPr>
        <w:t xml:space="preserve"> animal testing, o</w:t>
      </w:r>
      <w:r w:rsidR="008779F3" w:rsidRPr="004B1542">
        <w:rPr>
          <w:sz w:val="20"/>
        </w:rPr>
        <w:t>pinions regarding how the new act will impact the industry diverge</w:t>
      </w:r>
      <w:r w:rsidR="000F6414">
        <w:rPr>
          <w:sz w:val="20"/>
        </w:rPr>
        <w:t xml:space="preserve">; </w:t>
      </w:r>
      <w:r w:rsidR="008779F3" w:rsidRPr="004B1542">
        <w:rPr>
          <w:sz w:val="20"/>
        </w:rPr>
        <w:t>time will tell how the FDA implements the changes into actual practice.</w:t>
      </w:r>
      <w:r w:rsidR="000F6414">
        <w:rPr>
          <w:sz w:val="20"/>
        </w:rPr>
        <w:t xml:space="preserve"> </w:t>
      </w:r>
      <w:r w:rsidR="002A753D" w:rsidRPr="004B1542">
        <w:rPr>
          <w:sz w:val="20"/>
        </w:rPr>
        <w:t xml:space="preserve">Although this </w:t>
      </w:r>
      <w:r w:rsidR="00733FD4" w:rsidRPr="004B1542">
        <w:rPr>
          <w:sz w:val="20"/>
        </w:rPr>
        <w:t xml:space="preserve">is probably a slow change </w:t>
      </w:r>
      <w:r w:rsidR="002A753D" w:rsidRPr="004B1542">
        <w:rPr>
          <w:sz w:val="20"/>
        </w:rPr>
        <w:t xml:space="preserve">that will </w:t>
      </w:r>
      <w:r w:rsidR="00733FD4" w:rsidRPr="004B1542">
        <w:rPr>
          <w:sz w:val="20"/>
        </w:rPr>
        <w:t xml:space="preserve">not </w:t>
      </w:r>
      <w:r w:rsidR="000F6414">
        <w:rPr>
          <w:sz w:val="20"/>
        </w:rPr>
        <w:t>revolutionise</w:t>
      </w:r>
      <w:r w:rsidR="002A753D" w:rsidRPr="004B1542">
        <w:rPr>
          <w:sz w:val="20"/>
        </w:rPr>
        <w:t xml:space="preserve"> the drug approval process overnight, </w:t>
      </w:r>
      <w:r w:rsidR="00733FD4" w:rsidRPr="004B1542">
        <w:rPr>
          <w:sz w:val="20"/>
        </w:rPr>
        <w:t xml:space="preserve">within the </w:t>
      </w:r>
      <w:r w:rsidR="00277958" w:rsidRPr="004B1542">
        <w:rPr>
          <w:sz w:val="20"/>
        </w:rPr>
        <w:t>inhalation</w:t>
      </w:r>
      <w:r w:rsidR="00733FD4" w:rsidRPr="004B1542">
        <w:rPr>
          <w:sz w:val="20"/>
        </w:rPr>
        <w:t xml:space="preserve"> field </w:t>
      </w:r>
      <w:r w:rsidR="002A753D" w:rsidRPr="004B1542">
        <w:rPr>
          <w:sz w:val="20"/>
        </w:rPr>
        <w:t>now is probably the time to start reviewing the reasons behind current</w:t>
      </w:r>
      <w:r w:rsidR="00733FD4" w:rsidRPr="004B1542">
        <w:rPr>
          <w:sz w:val="20"/>
        </w:rPr>
        <w:t xml:space="preserve"> </w:t>
      </w:r>
      <w:r w:rsidR="002A753D" w:rsidRPr="004B1542">
        <w:rPr>
          <w:sz w:val="20"/>
        </w:rPr>
        <w:t>drug development preclinical models, what alternative models are available and how the research community is considering this field moving forward.</w:t>
      </w:r>
    </w:p>
    <w:p w14:paraId="55C4217B" w14:textId="0C933D78" w:rsidR="001D0EDD" w:rsidRPr="004B1542" w:rsidRDefault="00FC6198" w:rsidP="001D0EDD">
      <w:pPr>
        <w:pStyle w:val="DDLHeading1"/>
        <w:rPr>
          <w:i/>
          <w:iCs/>
          <w:sz w:val="20"/>
          <w:szCs w:val="20"/>
          <w:lang w:val="en-AU"/>
        </w:rPr>
      </w:pPr>
      <w:r w:rsidRPr="004B1542">
        <w:rPr>
          <w:i/>
          <w:iCs/>
          <w:sz w:val="20"/>
          <w:szCs w:val="20"/>
          <w:lang w:val="en-AU"/>
        </w:rPr>
        <w:t>The status quo</w:t>
      </w:r>
      <w:r w:rsidR="007C5259" w:rsidRPr="004B1542">
        <w:rPr>
          <w:i/>
          <w:iCs/>
          <w:sz w:val="20"/>
          <w:szCs w:val="20"/>
          <w:lang w:val="en-AU"/>
        </w:rPr>
        <w:t xml:space="preserve"> </w:t>
      </w:r>
    </w:p>
    <w:p w14:paraId="08B591AF" w14:textId="09A731C3" w:rsidR="00592A49" w:rsidRPr="004B1542" w:rsidRDefault="00CE7A9A" w:rsidP="001D0EDD">
      <w:pPr>
        <w:rPr>
          <w:sz w:val="20"/>
        </w:rPr>
      </w:pPr>
      <w:r w:rsidRPr="004B1542">
        <w:rPr>
          <w:sz w:val="20"/>
        </w:rPr>
        <w:t xml:space="preserve">Animals are </w:t>
      </w:r>
      <w:r w:rsidR="00AE52E4" w:rsidRPr="004B1542">
        <w:rPr>
          <w:sz w:val="20"/>
        </w:rPr>
        <w:t>fundamentally</w:t>
      </w:r>
      <w:r w:rsidRPr="004B1542">
        <w:rPr>
          <w:sz w:val="20"/>
        </w:rPr>
        <w:t xml:space="preserve"> a surrogate for predicting what</w:t>
      </w:r>
      <w:r w:rsidR="00AE52E4" w:rsidRPr="004B1542">
        <w:rPr>
          <w:sz w:val="20"/>
        </w:rPr>
        <w:t xml:space="preserve"> i</w:t>
      </w:r>
      <w:r w:rsidRPr="004B1542">
        <w:rPr>
          <w:sz w:val="20"/>
        </w:rPr>
        <w:t>s going to happen in a human</w:t>
      </w:r>
      <w:r w:rsidR="00751E87">
        <w:rPr>
          <w:sz w:val="20"/>
        </w:rPr>
        <w:t>,</w:t>
      </w:r>
      <w:r w:rsidR="000F6414">
        <w:rPr>
          <w:sz w:val="20"/>
        </w:rPr>
        <w:t xml:space="preserve"> and </w:t>
      </w:r>
      <w:r w:rsidRPr="004B1542">
        <w:rPr>
          <w:sz w:val="20"/>
        </w:rPr>
        <w:t>d</w:t>
      </w:r>
      <w:r w:rsidR="00592A49" w:rsidRPr="004B1542">
        <w:rPr>
          <w:sz w:val="20"/>
        </w:rPr>
        <w:t xml:space="preserve">espite variability </w:t>
      </w:r>
      <w:r w:rsidR="0072212A">
        <w:rPr>
          <w:sz w:val="20"/>
        </w:rPr>
        <w:t xml:space="preserve">in </w:t>
      </w:r>
      <w:r w:rsidR="00592A49" w:rsidRPr="004B1542">
        <w:rPr>
          <w:sz w:val="20"/>
        </w:rPr>
        <w:t>particle deposition, clearance, and effect</w:t>
      </w:r>
      <w:r w:rsidR="00F5215D">
        <w:rPr>
          <w:sz w:val="20"/>
        </w:rPr>
        <w:t xml:space="preserve"> when comparing humans to animals</w:t>
      </w:r>
      <w:r w:rsidR="00592A49" w:rsidRPr="004B1542">
        <w:rPr>
          <w:sz w:val="20"/>
        </w:rPr>
        <w:t>, numerous animal models have been used for inhalation studies</w:t>
      </w:r>
      <w:r w:rsidR="00AE52E4" w:rsidRPr="004B1542">
        <w:rPr>
          <w:sz w:val="20"/>
        </w:rPr>
        <w:t xml:space="preserve">. </w:t>
      </w:r>
      <w:r w:rsidR="00B85B0C" w:rsidRPr="004B1542">
        <w:rPr>
          <w:sz w:val="20"/>
        </w:rPr>
        <w:t>W</w:t>
      </w:r>
      <w:r w:rsidR="00AE52E4" w:rsidRPr="004B1542">
        <w:rPr>
          <w:sz w:val="20"/>
        </w:rPr>
        <w:t>ith more than 3.06 million scientific procedures involving living animals carried out in Great Britain in 2021</w:t>
      </w:r>
      <w:r w:rsidR="00B85B0C" w:rsidRPr="004B1542">
        <w:rPr>
          <w:sz w:val="20"/>
        </w:rPr>
        <w:t xml:space="preserve"> </w:t>
      </w:r>
      <w:r w:rsidR="00B7603A" w:rsidRPr="004B1542">
        <w:rPr>
          <w:noProof/>
          <w:sz w:val="20"/>
        </w:rPr>
        <w:t>[2]</w:t>
      </w:r>
      <w:r w:rsidR="00B85B0C" w:rsidRPr="004B1542">
        <w:rPr>
          <w:sz w:val="20"/>
        </w:rPr>
        <w:t>,</w:t>
      </w:r>
      <w:r w:rsidR="00592A49" w:rsidRPr="004B1542">
        <w:rPr>
          <w:sz w:val="20"/>
        </w:rPr>
        <w:t xml:space="preserve"> </w:t>
      </w:r>
      <w:r w:rsidR="00592A49" w:rsidRPr="004B1542">
        <w:rPr>
          <w:i/>
          <w:iCs/>
          <w:sz w:val="20"/>
        </w:rPr>
        <w:t>in vivo</w:t>
      </w:r>
      <w:r w:rsidR="00592A49" w:rsidRPr="004B1542">
        <w:rPr>
          <w:sz w:val="20"/>
        </w:rPr>
        <w:t xml:space="preserve"> testing continues to be central to preclinical drug development, despite </w:t>
      </w:r>
      <w:r w:rsidR="00B85B0C" w:rsidRPr="004B1542">
        <w:rPr>
          <w:sz w:val="20"/>
        </w:rPr>
        <w:t>questionable</w:t>
      </w:r>
      <w:r w:rsidR="00592A49" w:rsidRPr="004B1542">
        <w:rPr>
          <w:sz w:val="20"/>
        </w:rPr>
        <w:t xml:space="preserve"> demonstrable validity </w:t>
      </w:r>
      <w:r w:rsidR="00B7603A" w:rsidRPr="004B1542">
        <w:rPr>
          <w:noProof/>
          <w:sz w:val="20"/>
        </w:rPr>
        <w:t>[3]</w:t>
      </w:r>
      <w:r w:rsidR="00592A49" w:rsidRPr="004B1542">
        <w:rPr>
          <w:sz w:val="20"/>
        </w:rPr>
        <w:t xml:space="preserve">. Considering that over 92% of drugs that show promise in animal tests fail to reach the clinic and benefit patients </w:t>
      </w:r>
      <w:r w:rsidR="00B7603A" w:rsidRPr="004B1542">
        <w:rPr>
          <w:noProof/>
          <w:sz w:val="20"/>
        </w:rPr>
        <w:t>[4]</w:t>
      </w:r>
      <w:r w:rsidR="00592A49" w:rsidRPr="004B1542">
        <w:rPr>
          <w:sz w:val="20"/>
        </w:rPr>
        <w:t xml:space="preserve">, it seems obvious that the problem with the high attrition rate of </w:t>
      </w:r>
      <w:r w:rsidR="00244C17" w:rsidRPr="004B1542">
        <w:rPr>
          <w:sz w:val="20"/>
        </w:rPr>
        <w:t>approved</w:t>
      </w:r>
      <w:r w:rsidR="00592A49" w:rsidRPr="004B1542">
        <w:rPr>
          <w:sz w:val="20"/>
        </w:rPr>
        <w:t xml:space="preserve"> drugs, although multifactorial, should also be attributable to limitations of the current preclinical models. </w:t>
      </w:r>
      <w:r w:rsidR="000F6414">
        <w:rPr>
          <w:sz w:val="20"/>
        </w:rPr>
        <w:t xml:space="preserve">Briefly, </w:t>
      </w:r>
      <w:r w:rsidR="000F6414">
        <w:rPr>
          <w:kern w:val="32"/>
          <w:sz w:val="20"/>
          <w:lang w:val="en-AU"/>
        </w:rPr>
        <w:t>s</w:t>
      </w:r>
      <w:r w:rsidR="00592A49" w:rsidRPr="004B1542">
        <w:rPr>
          <w:kern w:val="32"/>
          <w:sz w:val="20"/>
          <w:lang w:val="en-AU"/>
        </w:rPr>
        <w:t xml:space="preserve">ignificant variations exist in mammalian respiratory tract structure. Variations in nasal anatomy are the most obvious </w:t>
      </w:r>
      <w:r w:rsidR="00B7603A" w:rsidRPr="004B1542">
        <w:rPr>
          <w:noProof/>
          <w:kern w:val="32"/>
          <w:sz w:val="20"/>
          <w:lang w:val="en-AU"/>
        </w:rPr>
        <w:t>[5]</w:t>
      </w:r>
      <w:r w:rsidR="00592A49" w:rsidRPr="004B1542">
        <w:rPr>
          <w:kern w:val="32"/>
          <w:sz w:val="20"/>
          <w:lang w:val="en-AU"/>
        </w:rPr>
        <w:t xml:space="preserve"> but differences are also seen in the tracheobronchial tree and the deep lung region. For instance, while humans and other primates have a relatively simple nasal anatomy, most other mammals have a complex, internal structure with a large olfactory apparatus </w:t>
      </w:r>
      <w:r w:rsidR="00B7603A" w:rsidRPr="004B1542">
        <w:rPr>
          <w:noProof/>
          <w:kern w:val="32"/>
          <w:sz w:val="20"/>
          <w:lang w:val="en-AU"/>
        </w:rPr>
        <w:t>[5]</w:t>
      </w:r>
      <w:r w:rsidR="00592A49" w:rsidRPr="004B1542">
        <w:rPr>
          <w:kern w:val="32"/>
          <w:sz w:val="20"/>
          <w:lang w:val="en-AU"/>
        </w:rPr>
        <w:t xml:space="preserve">. In addition, rats, and other rodents, are nose breathers, incapable of mouth breathing </w:t>
      </w:r>
      <w:r w:rsidR="00B7603A" w:rsidRPr="004B1542">
        <w:rPr>
          <w:noProof/>
          <w:kern w:val="32"/>
          <w:sz w:val="20"/>
          <w:lang w:val="en-AU"/>
        </w:rPr>
        <w:t>[6]</w:t>
      </w:r>
      <w:r w:rsidR="00592A49" w:rsidRPr="004B1542">
        <w:rPr>
          <w:kern w:val="32"/>
          <w:sz w:val="20"/>
          <w:lang w:val="en-AU"/>
        </w:rPr>
        <w:t xml:space="preserve">, </w:t>
      </w:r>
      <w:r w:rsidR="00CF3DE2">
        <w:rPr>
          <w:kern w:val="32"/>
          <w:sz w:val="20"/>
          <w:lang w:val="en-AU"/>
        </w:rPr>
        <w:t>which has</w:t>
      </w:r>
      <w:r w:rsidR="00592A49" w:rsidRPr="004B1542">
        <w:rPr>
          <w:kern w:val="32"/>
          <w:sz w:val="20"/>
          <w:lang w:val="en-AU"/>
        </w:rPr>
        <w:t xml:space="preserve"> major implications for inhaled </w:t>
      </w:r>
      <w:r w:rsidR="0072212A">
        <w:rPr>
          <w:kern w:val="32"/>
          <w:sz w:val="20"/>
          <w:lang w:val="en-AU"/>
        </w:rPr>
        <w:t>particle</w:t>
      </w:r>
      <w:r w:rsidR="005305C6">
        <w:rPr>
          <w:kern w:val="32"/>
          <w:sz w:val="20"/>
          <w:lang w:val="en-AU"/>
        </w:rPr>
        <w:t xml:space="preserve"> </w:t>
      </w:r>
      <w:r w:rsidR="00CF3DE2">
        <w:rPr>
          <w:kern w:val="32"/>
          <w:sz w:val="20"/>
          <w:lang w:val="en-AU"/>
        </w:rPr>
        <w:lastRenderedPageBreak/>
        <w:t xml:space="preserve">deposition </w:t>
      </w:r>
      <w:r w:rsidR="005305C6">
        <w:rPr>
          <w:kern w:val="32"/>
          <w:sz w:val="20"/>
          <w:lang w:val="en-AU"/>
        </w:rPr>
        <w:t>and clearance mechanisms</w:t>
      </w:r>
      <w:r w:rsidR="00CF3DE2">
        <w:rPr>
          <w:kern w:val="32"/>
          <w:sz w:val="20"/>
          <w:lang w:val="en-AU"/>
        </w:rPr>
        <w:t xml:space="preserve"> and delivery of various types of inhaled formulations to these animals</w:t>
      </w:r>
      <w:r w:rsidR="00592A49" w:rsidRPr="004B1542">
        <w:rPr>
          <w:kern w:val="32"/>
          <w:sz w:val="20"/>
          <w:lang w:val="en-AU"/>
        </w:rPr>
        <w:t>. Furthermore, respiratory bronchioles are absent in mice and rats, or very abbreviated in several other species such as hamsters</w:t>
      </w:r>
      <w:r w:rsidR="000F6414">
        <w:rPr>
          <w:kern w:val="32"/>
          <w:sz w:val="20"/>
          <w:lang w:val="en-AU"/>
        </w:rPr>
        <w:t xml:space="preserve"> and</w:t>
      </w:r>
      <w:r w:rsidR="00592A49" w:rsidRPr="004B1542">
        <w:rPr>
          <w:kern w:val="32"/>
          <w:sz w:val="20"/>
          <w:lang w:val="en-AU"/>
        </w:rPr>
        <w:t xml:space="preserve"> guinea pigs, </w:t>
      </w:r>
      <w:r w:rsidR="005305C6">
        <w:rPr>
          <w:noProof/>
          <w:kern w:val="32"/>
          <w:sz w:val="20"/>
          <w:lang w:val="en-AU"/>
        </w:rPr>
        <w:t>[7, 8]</w:t>
      </w:r>
      <w:r w:rsidR="00592A49" w:rsidRPr="004B1542">
        <w:rPr>
          <w:kern w:val="32"/>
          <w:sz w:val="20"/>
          <w:lang w:val="en-AU"/>
        </w:rPr>
        <w:t xml:space="preserve">, consequently eliminating the possibility of </w:t>
      </w:r>
      <w:r w:rsidR="00E30720">
        <w:rPr>
          <w:kern w:val="32"/>
          <w:sz w:val="20"/>
          <w:lang w:val="en-AU"/>
        </w:rPr>
        <w:t>investigating</w:t>
      </w:r>
      <w:r w:rsidR="00592A49" w:rsidRPr="004B1542">
        <w:rPr>
          <w:kern w:val="32"/>
          <w:sz w:val="20"/>
          <w:lang w:val="en-AU"/>
        </w:rPr>
        <w:t xml:space="preserve"> deep lung diseases like emphysema. </w:t>
      </w:r>
      <w:r w:rsidR="00955900" w:rsidRPr="004B1542">
        <w:rPr>
          <w:kern w:val="32"/>
          <w:sz w:val="20"/>
          <w:lang w:val="en-AU"/>
        </w:rPr>
        <w:t>F</w:t>
      </w:r>
      <w:r w:rsidR="00592A49" w:rsidRPr="004B1542">
        <w:rPr>
          <w:kern w:val="32"/>
          <w:sz w:val="20"/>
          <w:lang w:val="en-AU"/>
        </w:rPr>
        <w:t xml:space="preserve">urther down in the acinus, there are several differences between the different mammalian species for the number, size, and distribution of alveoli, impacting aerosol deposition, clearance, and toxicological responses </w:t>
      </w:r>
      <w:r w:rsidR="005305C6">
        <w:rPr>
          <w:noProof/>
          <w:kern w:val="32"/>
          <w:sz w:val="20"/>
          <w:lang w:val="en-AU"/>
        </w:rPr>
        <w:t>[9-11]</w:t>
      </w:r>
      <w:r w:rsidR="00592A49" w:rsidRPr="004B1542">
        <w:rPr>
          <w:kern w:val="32"/>
          <w:sz w:val="20"/>
          <w:lang w:val="en-AU"/>
        </w:rPr>
        <w:t>.</w:t>
      </w:r>
      <w:r w:rsidR="009E5787">
        <w:rPr>
          <w:kern w:val="32"/>
          <w:sz w:val="20"/>
          <w:lang w:val="en-AU"/>
        </w:rPr>
        <w:t xml:space="preserve"> </w:t>
      </w:r>
      <w:r w:rsidR="00CF3DE2">
        <w:rPr>
          <w:kern w:val="32"/>
          <w:sz w:val="20"/>
          <w:lang w:val="en-AU"/>
        </w:rPr>
        <w:t xml:space="preserve">Respiratory anatomy is just one of the many interspecies differences but there are also others to consider including inflammatory responses, distribution or presence of key proteins and pharmacokinetics/dynamics. </w:t>
      </w:r>
      <w:r w:rsidR="00592A49" w:rsidRPr="005305C6">
        <w:rPr>
          <w:kern w:val="32"/>
          <w:sz w:val="20"/>
          <w:lang w:val="en-AU"/>
        </w:rPr>
        <w:t xml:space="preserve">These are crude generalizations based on limited data, so careful attention should be taken before designing any specific aerosol study that involves animal models </w:t>
      </w:r>
      <w:r w:rsidR="005305C6" w:rsidRPr="005305C6">
        <w:rPr>
          <w:noProof/>
          <w:kern w:val="32"/>
          <w:sz w:val="20"/>
          <w:lang w:val="en-AU"/>
        </w:rPr>
        <w:t>[12-14]</w:t>
      </w:r>
      <w:r w:rsidR="00592A49" w:rsidRPr="005305C6">
        <w:rPr>
          <w:kern w:val="32"/>
          <w:sz w:val="20"/>
          <w:lang w:val="en-AU"/>
        </w:rPr>
        <w:t>.</w:t>
      </w:r>
    </w:p>
    <w:p w14:paraId="38A292B5" w14:textId="77777777" w:rsidR="00592A49" w:rsidRPr="004B1542" w:rsidRDefault="00592A49" w:rsidP="00592A49">
      <w:pPr>
        <w:pStyle w:val="DDLHeading1"/>
        <w:rPr>
          <w:i/>
          <w:iCs/>
          <w:sz w:val="20"/>
          <w:szCs w:val="20"/>
          <w:lang w:val="en-AU"/>
        </w:rPr>
      </w:pPr>
      <w:r w:rsidRPr="004B1542">
        <w:rPr>
          <w:i/>
          <w:iCs/>
          <w:sz w:val="20"/>
          <w:szCs w:val="20"/>
          <w:lang w:val="en-AU"/>
        </w:rPr>
        <w:t>Despite all these differences, why are we still using animal models?</w:t>
      </w:r>
    </w:p>
    <w:p w14:paraId="52F990CC" w14:textId="66EB8592" w:rsidR="00592A49" w:rsidRPr="004B1542" w:rsidRDefault="00592A49" w:rsidP="00592A49">
      <w:pPr>
        <w:pStyle w:val="DDLHeading1"/>
        <w:rPr>
          <w:b w:val="0"/>
          <w:bCs w:val="0"/>
          <w:sz w:val="20"/>
          <w:szCs w:val="20"/>
          <w:lang w:val="en-AU"/>
        </w:rPr>
      </w:pPr>
      <w:r w:rsidRPr="004B1542">
        <w:rPr>
          <w:b w:val="0"/>
          <w:bCs w:val="0"/>
          <w:sz w:val="20"/>
          <w:szCs w:val="20"/>
          <w:lang w:val="en-AU"/>
        </w:rPr>
        <w:t>There is a general assumption that animal testing helps to ensure human safety and the efficacy of new pharmaceuticals. The foundations for the validity of animal models for application to humans are based on experience</w:t>
      </w:r>
      <w:r w:rsidR="00E30720">
        <w:rPr>
          <w:b w:val="0"/>
          <w:bCs w:val="0"/>
          <w:sz w:val="20"/>
          <w:szCs w:val="20"/>
          <w:lang w:val="en-AU"/>
        </w:rPr>
        <w:t xml:space="preserve">, </w:t>
      </w:r>
      <w:r w:rsidRPr="004B1542">
        <w:rPr>
          <w:b w:val="0"/>
          <w:bCs w:val="0"/>
          <w:sz w:val="20"/>
          <w:szCs w:val="20"/>
          <w:lang w:val="en-AU"/>
        </w:rPr>
        <w:t>genetic and physiological principles</w:t>
      </w:r>
      <w:r w:rsidR="00C71536" w:rsidRPr="004B1542">
        <w:rPr>
          <w:b w:val="0"/>
          <w:bCs w:val="0"/>
          <w:sz w:val="20"/>
          <w:szCs w:val="20"/>
          <w:lang w:val="en-AU"/>
        </w:rPr>
        <w:t>, with v</w:t>
      </w:r>
      <w:r w:rsidR="00800F86" w:rsidRPr="004B1542">
        <w:rPr>
          <w:b w:val="0"/>
          <w:bCs w:val="0"/>
          <w:sz w:val="20"/>
          <w:szCs w:val="20"/>
          <w:lang w:val="en-AU"/>
        </w:rPr>
        <w:t xml:space="preserve">irtually all animal models </w:t>
      </w:r>
      <w:r w:rsidR="00C71536" w:rsidRPr="004B1542">
        <w:rPr>
          <w:b w:val="0"/>
          <w:bCs w:val="0"/>
          <w:sz w:val="20"/>
          <w:szCs w:val="20"/>
          <w:lang w:val="en-AU"/>
        </w:rPr>
        <w:t>having</w:t>
      </w:r>
      <w:r w:rsidR="00800F86" w:rsidRPr="004B1542">
        <w:rPr>
          <w:b w:val="0"/>
          <w:bCs w:val="0"/>
          <w:sz w:val="20"/>
          <w:szCs w:val="20"/>
          <w:lang w:val="en-AU"/>
        </w:rPr>
        <w:t xml:space="preserve"> their strengths. </w:t>
      </w:r>
      <w:r w:rsidRPr="004B1542">
        <w:rPr>
          <w:b w:val="0"/>
          <w:bCs w:val="0"/>
          <w:sz w:val="20"/>
          <w:szCs w:val="20"/>
          <w:lang w:val="en-AU"/>
        </w:rPr>
        <w:t xml:space="preserve">Animal models, particularly genetically engineered ones, have been used for different studies ranging from fundamental biology, physiology, and toxicology principles to the testing of their safety and/or efficacy. For initial testing of tissue injury of inhaled substances, dose-response phenomena, and target tissues, rodents, and other small animals are desirable; these types of studies often require large group sizes to provide statistically meaningful results </w:t>
      </w:r>
      <w:r w:rsidR="005305C6">
        <w:rPr>
          <w:b w:val="0"/>
          <w:bCs w:val="0"/>
          <w:noProof/>
          <w:sz w:val="20"/>
          <w:szCs w:val="20"/>
          <w:lang w:val="en-AU"/>
        </w:rPr>
        <w:t>[15]</w:t>
      </w:r>
      <w:r w:rsidRPr="004B1542">
        <w:rPr>
          <w:b w:val="0"/>
          <w:bCs w:val="0"/>
          <w:sz w:val="20"/>
          <w:szCs w:val="20"/>
          <w:lang w:val="en-AU"/>
        </w:rPr>
        <w:t xml:space="preserve">. More advanced and confirmatory testing is generally conducted in dogs or nonhuman primates </w:t>
      </w:r>
      <w:r w:rsidR="005305C6">
        <w:rPr>
          <w:b w:val="0"/>
          <w:bCs w:val="0"/>
          <w:noProof/>
          <w:sz w:val="20"/>
          <w:szCs w:val="20"/>
          <w:lang w:val="en-AU"/>
        </w:rPr>
        <w:t>[16]</w:t>
      </w:r>
      <w:r w:rsidRPr="004B1542">
        <w:rPr>
          <w:b w:val="0"/>
          <w:bCs w:val="0"/>
          <w:sz w:val="20"/>
          <w:szCs w:val="20"/>
          <w:lang w:val="en-AU"/>
        </w:rPr>
        <w:t xml:space="preserve">. But while the underlying biology is similar, there are still several fundamental differences and this means predicting the risk to patients is limited to an accuracy rate of around 75-85% </w:t>
      </w:r>
      <w:r w:rsidR="005305C6">
        <w:rPr>
          <w:b w:val="0"/>
          <w:bCs w:val="0"/>
          <w:noProof/>
          <w:sz w:val="20"/>
          <w:szCs w:val="20"/>
          <w:lang w:val="en-AU"/>
        </w:rPr>
        <w:t>[17, 18]</w:t>
      </w:r>
      <w:r w:rsidRPr="004B1542">
        <w:rPr>
          <w:b w:val="0"/>
          <w:bCs w:val="0"/>
          <w:sz w:val="20"/>
          <w:szCs w:val="20"/>
          <w:lang w:val="en-AU"/>
        </w:rPr>
        <w:t xml:space="preserve">, leading to unwanted side effects and possible drug withdrawals from the market. Equally concerning is that there are probably drugs that could be safe and effective in humans but that have never reached clinical trials because they were dropped from development pipelines due to poor safety concerns in animals. Furthermore, for biologic therapies, rapidly approaching nearly half of all drugs in development, non-human models often show no or different activities </w:t>
      </w:r>
      <w:r w:rsidR="005305C6">
        <w:rPr>
          <w:b w:val="0"/>
          <w:bCs w:val="0"/>
          <w:noProof/>
          <w:sz w:val="20"/>
          <w:szCs w:val="20"/>
          <w:lang w:val="en-AU"/>
        </w:rPr>
        <w:t>[19]</w:t>
      </w:r>
      <w:r w:rsidRPr="004B1542">
        <w:rPr>
          <w:b w:val="0"/>
          <w:bCs w:val="0"/>
          <w:sz w:val="20"/>
          <w:szCs w:val="20"/>
          <w:lang w:val="en-AU"/>
        </w:rPr>
        <w:t xml:space="preserve">. Still, animal research is undeniably a critical component of modern science, and it would be naïve to believe otherwise. </w:t>
      </w:r>
    </w:p>
    <w:p w14:paraId="4B34B1FC" w14:textId="2826842D" w:rsidR="00592A49" w:rsidRPr="004B1542" w:rsidRDefault="00FC6198" w:rsidP="00592A49">
      <w:pPr>
        <w:pStyle w:val="DDLHeading1"/>
        <w:rPr>
          <w:i/>
          <w:iCs/>
          <w:sz w:val="20"/>
          <w:szCs w:val="20"/>
          <w:lang w:val="en-AU"/>
        </w:rPr>
      </w:pPr>
      <w:r w:rsidRPr="004B1542">
        <w:rPr>
          <w:i/>
          <w:iCs/>
          <w:sz w:val="20"/>
          <w:szCs w:val="20"/>
          <w:lang w:val="en-AU"/>
        </w:rPr>
        <w:t xml:space="preserve">Looking at the near future: </w:t>
      </w:r>
      <w:r w:rsidR="00592A49" w:rsidRPr="004B1542">
        <w:rPr>
          <w:i/>
          <w:iCs/>
          <w:sz w:val="20"/>
          <w:szCs w:val="20"/>
          <w:lang w:val="en-AU"/>
        </w:rPr>
        <w:t>Wh</w:t>
      </w:r>
      <w:r w:rsidR="00CF3DE2">
        <w:rPr>
          <w:i/>
          <w:iCs/>
          <w:sz w:val="20"/>
          <w:szCs w:val="20"/>
          <w:lang w:val="en-AU"/>
        </w:rPr>
        <w:t>at</w:t>
      </w:r>
      <w:r w:rsidR="00592A49" w:rsidRPr="004B1542">
        <w:rPr>
          <w:i/>
          <w:iCs/>
          <w:sz w:val="20"/>
          <w:szCs w:val="20"/>
          <w:lang w:val="en-AU"/>
        </w:rPr>
        <w:t xml:space="preserve"> are the alternative models available and how relevant they are? </w:t>
      </w:r>
    </w:p>
    <w:p w14:paraId="4F53D905" w14:textId="60A6F9C4" w:rsidR="00CE7A9A" w:rsidRPr="004B1542" w:rsidRDefault="00592A49" w:rsidP="00123E17">
      <w:pPr>
        <w:pStyle w:val="DDLHeading1"/>
        <w:contextualSpacing/>
        <w:rPr>
          <w:b w:val="0"/>
          <w:bCs w:val="0"/>
          <w:sz w:val="20"/>
          <w:szCs w:val="20"/>
          <w:lang w:val="en-AU"/>
        </w:rPr>
      </w:pPr>
      <w:r w:rsidRPr="004B1542">
        <w:rPr>
          <w:b w:val="0"/>
          <w:bCs w:val="0"/>
          <w:sz w:val="20"/>
          <w:szCs w:val="20"/>
          <w:lang w:val="en-AU"/>
        </w:rPr>
        <w:t xml:space="preserve">Based on the most recent advances in tissue-engineering technologies, different </w:t>
      </w:r>
      <w:r w:rsidRPr="005305C6">
        <w:rPr>
          <w:b w:val="0"/>
          <w:bCs w:val="0"/>
          <w:i/>
          <w:iCs/>
          <w:sz w:val="20"/>
          <w:szCs w:val="20"/>
          <w:lang w:val="en-AU"/>
        </w:rPr>
        <w:t>in vitro</w:t>
      </w:r>
      <w:r w:rsidRPr="004B1542">
        <w:rPr>
          <w:b w:val="0"/>
          <w:bCs w:val="0"/>
          <w:sz w:val="20"/>
          <w:szCs w:val="20"/>
          <w:lang w:val="en-AU"/>
        </w:rPr>
        <w:t xml:space="preserve"> cell-based methodologies for screening the efficacy of inhaled drugs have been used: </w:t>
      </w:r>
      <w:r w:rsidR="005305C6">
        <w:rPr>
          <w:b w:val="0"/>
          <w:bCs w:val="0"/>
          <w:sz w:val="20"/>
          <w:szCs w:val="20"/>
          <w:lang w:val="en-AU"/>
        </w:rPr>
        <w:t xml:space="preserve">i.e., </w:t>
      </w:r>
      <w:r w:rsidRPr="004B1542">
        <w:rPr>
          <w:b w:val="0"/>
          <w:bCs w:val="0"/>
          <w:sz w:val="20"/>
          <w:szCs w:val="20"/>
          <w:lang w:val="en-AU"/>
        </w:rPr>
        <w:t xml:space="preserve">(i) tissue-mimetic lung cultures grown at the Air–Liquid Interface; (ii) lung organoids; and (iii) lung-on-chip. </w:t>
      </w:r>
      <w:r w:rsidRPr="004B1542">
        <w:rPr>
          <w:b w:val="0"/>
          <w:bCs w:val="0"/>
          <w:i/>
          <w:iCs/>
          <w:sz w:val="20"/>
          <w:szCs w:val="20"/>
          <w:lang w:val="en-AU"/>
        </w:rPr>
        <w:t>In vitro</w:t>
      </w:r>
      <w:r w:rsidR="0019287A" w:rsidRPr="004B1542">
        <w:rPr>
          <w:b w:val="0"/>
          <w:bCs w:val="0"/>
          <w:i/>
          <w:iCs/>
          <w:sz w:val="20"/>
          <w:szCs w:val="20"/>
          <w:lang w:val="en-AU"/>
        </w:rPr>
        <w:t>,</w:t>
      </w:r>
      <w:r w:rsidRPr="004B1542">
        <w:rPr>
          <w:b w:val="0"/>
          <w:bCs w:val="0"/>
          <w:sz w:val="20"/>
          <w:szCs w:val="20"/>
          <w:lang w:val="en-AU"/>
        </w:rPr>
        <w:t xml:space="preserve"> methods for toxicity assessments of inhaled pharmaceuticals have already benefited from substantial support from the European Union and the Organisation for Economic Co-operation and Development </w:t>
      </w:r>
      <w:r w:rsidR="00F5215D" w:rsidRPr="004B1542">
        <w:rPr>
          <w:b w:val="0"/>
          <w:bCs w:val="0"/>
          <w:sz w:val="20"/>
          <w:szCs w:val="20"/>
          <w:lang w:val="en-AU"/>
        </w:rPr>
        <w:t>regulatory framework</w:t>
      </w:r>
      <w:r w:rsidR="00F5215D">
        <w:rPr>
          <w:b w:val="0"/>
          <w:bCs w:val="0"/>
          <w:sz w:val="20"/>
          <w:szCs w:val="20"/>
          <w:lang w:val="en-AU"/>
        </w:rPr>
        <w:t>s</w:t>
      </w:r>
      <w:r w:rsidR="00F5215D" w:rsidRPr="004B1542">
        <w:rPr>
          <w:b w:val="0"/>
          <w:bCs w:val="0"/>
          <w:sz w:val="20"/>
          <w:szCs w:val="20"/>
          <w:lang w:val="en-AU"/>
        </w:rPr>
        <w:t xml:space="preserve"> </w:t>
      </w:r>
      <w:r w:rsidR="005305C6">
        <w:rPr>
          <w:b w:val="0"/>
          <w:bCs w:val="0"/>
          <w:noProof/>
          <w:sz w:val="20"/>
          <w:szCs w:val="20"/>
          <w:lang w:val="en-AU"/>
        </w:rPr>
        <w:t>[20]</w:t>
      </w:r>
      <w:r w:rsidRPr="004B1542">
        <w:rPr>
          <w:b w:val="0"/>
          <w:bCs w:val="0"/>
          <w:sz w:val="20"/>
          <w:szCs w:val="20"/>
          <w:lang w:val="en-AU"/>
        </w:rPr>
        <w:t xml:space="preserve">. Additionally, </w:t>
      </w:r>
      <w:r w:rsidRPr="004B1542">
        <w:rPr>
          <w:b w:val="0"/>
          <w:bCs w:val="0"/>
          <w:i/>
          <w:iCs/>
          <w:sz w:val="20"/>
          <w:szCs w:val="20"/>
          <w:lang w:val="en-AU"/>
        </w:rPr>
        <w:t>in vitro</w:t>
      </w:r>
      <w:r w:rsidRPr="004B1542">
        <w:rPr>
          <w:b w:val="0"/>
          <w:bCs w:val="0"/>
          <w:sz w:val="20"/>
          <w:szCs w:val="20"/>
          <w:lang w:val="en-AU"/>
        </w:rPr>
        <w:t xml:space="preserve"> models such as anatomical models, </w:t>
      </w:r>
      <w:r w:rsidR="00CA5534" w:rsidRPr="004B1542">
        <w:rPr>
          <w:b w:val="0"/>
          <w:bCs w:val="0"/>
          <w:sz w:val="20"/>
          <w:szCs w:val="20"/>
          <w:lang w:val="en-AU"/>
        </w:rPr>
        <w:t xml:space="preserve">and </w:t>
      </w:r>
      <w:r w:rsidRPr="004B1542">
        <w:rPr>
          <w:b w:val="0"/>
          <w:bCs w:val="0"/>
          <w:sz w:val="20"/>
          <w:szCs w:val="20"/>
          <w:lang w:val="en-AU"/>
        </w:rPr>
        <w:t>cell-integrated impactor technolog</w:t>
      </w:r>
      <w:r w:rsidR="00D72D5F" w:rsidRPr="004B1542">
        <w:rPr>
          <w:b w:val="0"/>
          <w:bCs w:val="0"/>
          <w:sz w:val="20"/>
          <w:szCs w:val="20"/>
          <w:lang w:val="en-AU"/>
        </w:rPr>
        <w:t>ies</w:t>
      </w:r>
      <w:r w:rsidRPr="004B1542">
        <w:rPr>
          <w:b w:val="0"/>
          <w:bCs w:val="0"/>
          <w:sz w:val="20"/>
          <w:szCs w:val="20"/>
          <w:lang w:val="en-AU"/>
        </w:rPr>
        <w:t xml:space="preserve"> </w:t>
      </w:r>
      <w:r w:rsidR="005305C6">
        <w:rPr>
          <w:b w:val="0"/>
          <w:bCs w:val="0"/>
          <w:noProof/>
          <w:sz w:val="20"/>
          <w:szCs w:val="20"/>
          <w:lang w:val="en-AU"/>
        </w:rPr>
        <w:t>[21-23]</w:t>
      </w:r>
      <w:r w:rsidRPr="004B1542">
        <w:rPr>
          <w:b w:val="0"/>
          <w:bCs w:val="0"/>
          <w:sz w:val="20"/>
          <w:szCs w:val="20"/>
          <w:lang w:val="en-AU"/>
        </w:rPr>
        <w:t xml:space="preserve"> to predict aerosol deposition have also been shown to be helpful to bridge animal studies to clinical use. More recently human computational models </w:t>
      </w:r>
      <w:r w:rsidR="005305C6">
        <w:rPr>
          <w:b w:val="0"/>
          <w:bCs w:val="0"/>
          <w:noProof/>
          <w:sz w:val="20"/>
          <w:szCs w:val="20"/>
          <w:lang w:val="en-AU"/>
        </w:rPr>
        <w:t>[24, 25]</w:t>
      </w:r>
      <w:r w:rsidRPr="004B1542">
        <w:rPr>
          <w:b w:val="0"/>
          <w:bCs w:val="0"/>
          <w:sz w:val="20"/>
          <w:szCs w:val="20"/>
          <w:lang w:val="en-AU"/>
        </w:rPr>
        <w:t xml:space="preserve">, organs on a chip </w:t>
      </w:r>
      <w:r w:rsidR="005305C6">
        <w:rPr>
          <w:b w:val="0"/>
          <w:bCs w:val="0"/>
          <w:noProof/>
          <w:sz w:val="20"/>
          <w:szCs w:val="20"/>
          <w:lang w:val="en-AU"/>
        </w:rPr>
        <w:t>[26]</w:t>
      </w:r>
      <w:r w:rsidRPr="004B1542">
        <w:rPr>
          <w:b w:val="0"/>
          <w:bCs w:val="0"/>
          <w:sz w:val="20"/>
          <w:szCs w:val="20"/>
          <w:lang w:val="en-AU"/>
        </w:rPr>
        <w:t xml:space="preserve">, and virtual cell biology </w:t>
      </w:r>
      <w:r w:rsidR="00D72D5F" w:rsidRPr="004B1542">
        <w:rPr>
          <w:b w:val="0"/>
          <w:bCs w:val="0"/>
          <w:sz w:val="20"/>
          <w:szCs w:val="20"/>
          <w:lang w:val="en-AU"/>
        </w:rPr>
        <w:t xml:space="preserve">based on mathematical models </w:t>
      </w:r>
      <w:r w:rsidR="005305C6">
        <w:rPr>
          <w:b w:val="0"/>
          <w:bCs w:val="0"/>
          <w:noProof/>
          <w:sz w:val="20"/>
          <w:szCs w:val="20"/>
          <w:lang w:val="en-AU"/>
        </w:rPr>
        <w:t>[27]</w:t>
      </w:r>
      <w:r w:rsidRPr="004B1542">
        <w:rPr>
          <w:b w:val="0"/>
          <w:bCs w:val="0"/>
          <w:sz w:val="20"/>
          <w:szCs w:val="20"/>
          <w:lang w:val="en-AU"/>
        </w:rPr>
        <w:t xml:space="preserve"> </w:t>
      </w:r>
      <w:r w:rsidR="00DD2EE3" w:rsidRPr="004B1542">
        <w:rPr>
          <w:b w:val="0"/>
          <w:bCs w:val="0"/>
          <w:sz w:val="20"/>
          <w:szCs w:val="20"/>
          <w:lang w:val="en-AU"/>
        </w:rPr>
        <w:t xml:space="preserve">including computation fluid dynamics </w:t>
      </w:r>
      <w:r w:rsidR="005305C6">
        <w:rPr>
          <w:b w:val="0"/>
          <w:bCs w:val="0"/>
          <w:noProof/>
          <w:sz w:val="20"/>
          <w:szCs w:val="20"/>
          <w:lang w:val="en-AU"/>
        </w:rPr>
        <w:t>[28]</w:t>
      </w:r>
      <w:r w:rsidR="00D72D5F" w:rsidRPr="004B1542">
        <w:rPr>
          <w:sz w:val="20"/>
          <w:szCs w:val="20"/>
        </w:rPr>
        <w:t xml:space="preserve"> </w:t>
      </w:r>
      <w:r w:rsidR="00DD2EE3" w:rsidRPr="004B1542">
        <w:rPr>
          <w:b w:val="0"/>
          <w:bCs w:val="0"/>
          <w:sz w:val="20"/>
          <w:szCs w:val="20"/>
          <w:lang w:val="en-AU"/>
        </w:rPr>
        <w:t xml:space="preserve">have also been used to </w:t>
      </w:r>
      <w:r w:rsidR="00DD2EE3" w:rsidRPr="004B1542">
        <w:rPr>
          <w:b w:val="0"/>
          <w:bCs w:val="0"/>
          <w:sz w:val="20"/>
          <w:szCs w:val="20"/>
        </w:rPr>
        <w:t>predict inhaled drug deposition</w:t>
      </w:r>
      <w:r w:rsidR="00DD2EE3" w:rsidRPr="004B1542">
        <w:rPr>
          <w:b w:val="0"/>
          <w:bCs w:val="0"/>
          <w:sz w:val="20"/>
          <w:szCs w:val="20"/>
          <w:lang w:val="en-AU"/>
        </w:rPr>
        <w:t>,</w:t>
      </w:r>
      <w:r w:rsidR="00DD2EE3" w:rsidRPr="004B1542">
        <w:rPr>
          <w:sz w:val="20"/>
          <w:szCs w:val="20"/>
          <w:lang w:val="en-AU"/>
        </w:rPr>
        <w:t xml:space="preserve"> </w:t>
      </w:r>
      <w:r w:rsidR="00DD2EE3" w:rsidRPr="004B1542">
        <w:rPr>
          <w:b w:val="0"/>
          <w:bCs w:val="0"/>
          <w:sz w:val="20"/>
          <w:szCs w:val="20"/>
          <w:lang w:val="en-AU"/>
        </w:rPr>
        <w:t>bringing additional advantages</w:t>
      </w:r>
      <w:r w:rsidR="00751E87">
        <w:rPr>
          <w:b w:val="0"/>
          <w:bCs w:val="0"/>
          <w:sz w:val="20"/>
          <w:szCs w:val="20"/>
          <w:lang w:val="en-AU"/>
        </w:rPr>
        <w:t xml:space="preserve">, </w:t>
      </w:r>
      <w:r w:rsidR="00E30720">
        <w:rPr>
          <w:b w:val="0"/>
          <w:bCs w:val="0"/>
          <w:sz w:val="20"/>
          <w:szCs w:val="20"/>
          <w:lang w:val="en-AU"/>
        </w:rPr>
        <w:t>and are</w:t>
      </w:r>
      <w:r w:rsidR="00751E87" w:rsidRPr="004B1542">
        <w:rPr>
          <w:b w:val="0"/>
          <w:bCs w:val="0"/>
          <w:sz w:val="20"/>
          <w:szCs w:val="20"/>
          <w:lang w:val="en-AU"/>
        </w:rPr>
        <w:t xml:space="preserve"> already playing an important role in the early stages of drug development</w:t>
      </w:r>
      <w:r w:rsidR="00786A68" w:rsidRPr="004B1542">
        <w:rPr>
          <w:b w:val="0"/>
          <w:bCs w:val="0"/>
          <w:sz w:val="20"/>
          <w:szCs w:val="20"/>
          <w:lang w:val="en-AU"/>
        </w:rPr>
        <w:t xml:space="preserve"> </w:t>
      </w:r>
      <w:r w:rsidR="00751E87">
        <w:rPr>
          <w:b w:val="0"/>
          <w:bCs w:val="0"/>
          <w:noProof/>
          <w:sz w:val="20"/>
          <w:szCs w:val="20"/>
          <w:lang w:val="en-AU"/>
        </w:rPr>
        <w:t>[29]</w:t>
      </w:r>
      <w:r w:rsidRPr="004B1542">
        <w:rPr>
          <w:b w:val="0"/>
          <w:bCs w:val="0"/>
          <w:sz w:val="20"/>
          <w:szCs w:val="20"/>
          <w:lang w:val="en-AU"/>
        </w:rPr>
        <w:t xml:space="preserve">. </w:t>
      </w:r>
      <w:r w:rsidR="00786A68" w:rsidRPr="004B1542">
        <w:rPr>
          <w:b w:val="0"/>
          <w:bCs w:val="0"/>
          <w:sz w:val="20"/>
          <w:szCs w:val="20"/>
          <w:lang w:val="en-AU"/>
        </w:rPr>
        <w:t xml:space="preserve">Still, computer models, are only as good as the data they are built on, and </w:t>
      </w:r>
      <w:r w:rsidR="00A8428D">
        <w:rPr>
          <w:b w:val="0"/>
          <w:bCs w:val="0"/>
          <w:sz w:val="20"/>
          <w:szCs w:val="20"/>
          <w:lang w:val="en-AU"/>
        </w:rPr>
        <w:t xml:space="preserve">until </w:t>
      </w:r>
      <w:r w:rsidR="00786A68" w:rsidRPr="004B1542">
        <w:rPr>
          <w:b w:val="0"/>
          <w:bCs w:val="0"/>
          <w:sz w:val="20"/>
          <w:szCs w:val="20"/>
          <w:lang w:val="en-AU"/>
        </w:rPr>
        <w:t xml:space="preserve">more </w:t>
      </w:r>
      <w:r w:rsidR="00CF3DE2">
        <w:rPr>
          <w:b w:val="0"/>
          <w:bCs w:val="0"/>
          <w:sz w:val="20"/>
          <w:szCs w:val="20"/>
          <w:lang w:val="en-AU"/>
        </w:rPr>
        <w:t xml:space="preserve">accurate </w:t>
      </w:r>
      <w:r w:rsidR="00786A68" w:rsidRPr="004B1542">
        <w:rPr>
          <w:b w:val="0"/>
          <w:bCs w:val="0"/>
          <w:sz w:val="20"/>
          <w:szCs w:val="20"/>
          <w:lang w:val="en-AU"/>
        </w:rPr>
        <w:t xml:space="preserve">data is available </w:t>
      </w:r>
      <w:r w:rsidR="00786A68" w:rsidRPr="004B1542">
        <w:rPr>
          <w:b w:val="0"/>
          <w:bCs w:val="0"/>
          <w:sz w:val="20"/>
          <w:szCs w:val="20"/>
        </w:rPr>
        <w:t>these alternative methods are better at predicting relatively simple, short-term outcomes, such as acute toxicity, than complicated, long-term ones.</w:t>
      </w:r>
      <w:r w:rsidR="004E7059" w:rsidRPr="004B1542">
        <w:rPr>
          <w:b w:val="0"/>
          <w:bCs w:val="0"/>
          <w:sz w:val="20"/>
          <w:szCs w:val="20"/>
          <w:lang w:val="en-AU"/>
        </w:rPr>
        <w:t xml:space="preserve"> </w:t>
      </w:r>
      <w:r w:rsidRPr="004B1542">
        <w:rPr>
          <w:b w:val="0"/>
          <w:bCs w:val="0"/>
          <w:sz w:val="20"/>
          <w:szCs w:val="20"/>
          <w:lang w:val="en-AU"/>
        </w:rPr>
        <w:t xml:space="preserve">Overall, all these </w:t>
      </w:r>
      <w:r w:rsidR="00E23E04">
        <w:rPr>
          <w:b w:val="0"/>
          <w:bCs w:val="0"/>
          <w:i/>
          <w:iCs/>
          <w:sz w:val="20"/>
          <w:szCs w:val="20"/>
          <w:lang w:val="en-AU"/>
        </w:rPr>
        <w:t>non-clinical</w:t>
      </w:r>
      <w:r w:rsidRPr="004B1542">
        <w:rPr>
          <w:b w:val="0"/>
          <w:bCs w:val="0"/>
          <w:sz w:val="20"/>
          <w:szCs w:val="20"/>
          <w:lang w:val="en-AU"/>
        </w:rPr>
        <w:t xml:space="preserve"> models have many advantages over the use of animals, like a lack of concern regarding cross-species correlation, ethical issues and economic constraints and </w:t>
      </w:r>
      <w:r w:rsidR="00F5215D">
        <w:rPr>
          <w:b w:val="0"/>
          <w:bCs w:val="0"/>
          <w:sz w:val="20"/>
          <w:szCs w:val="20"/>
          <w:lang w:val="en-AU"/>
        </w:rPr>
        <w:t>are</w:t>
      </w:r>
      <w:r w:rsidRPr="004B1542">
        <w:rPr>
          <w:b w:val="0"/>
          <w:bCs w:val="0"/>
          <w:sz w:val="20"/>
          <w:szCs w:val="20"/>
          <w:lang w:val="en-AU"/>
        </w:rPr>
        <w:t xml:space="preserve"> supportive for many pharmaceutical development stages</w:t>
      </w:r>
      <w:r w:rsidR="004B36AB" w:rsidRPr="004B1542">
        <w:rPr>
          <w:b w:val="0"/>
          <w:bCs w:val="0"/>
          <w:sz w:val="20"/>
          <w:szCs w:val="20"/>
          <w:lang w:val="en-AU"/>
        </w:rPr>
        <w:t>; b</w:t>
      </w:r>
      <w:r w:rsidRPr="004B1542">
        <w:rPr>
          <w:b w:val="0"/>
          <w:bCs w:val="0"/>
          <w:sz w:val="20"/>
          <w:szCs w:val="20"/>
          <w:lang w:val="en-AU"/>
        </w:rPr>
        <w:t>ut they also have limitations of their own</w:t>
      </w:r>
      <w:r w:rsidR="004B36AB" w:rsidRPr="004B1542">
        <w:rPr>
          <w:b w:val="0"/>
          <w:bCs w:val="0"/>
          <w:sz w:val="20"/>
          <w:szCs w:val="20"/>
          <w:lang w:val="en-AU"/>
        </w:rPr>
        <w:t xml:space="preserve"> and </w:t>
      </w:r>
      <w:r w:rsidR="00DE1C85" w:rsidRPr="004B1542">
        <w:rPr>
          <w:b w:val="0"/>
          <w:bCs w:val="0"/>
          <w:sz w:val="20"/>
          <w:szCs w:val="20"/>
          <w:lang w:val="en-AU"/>
        </w:rPr>
        <w:t>the</w:t>
      </w:r>
      <w:r w:rsidR="004B36AB" w:rsidRPr="004B1542">
        <w:rPr>
          <w:b w:val="0"/>
          <w:bCs w:val="0"/>
          <w:sz w:val="20"/>
          <w:szCs w:val="20"/>
          <w:lang w:val="en-AU"/>
        </w:rPr>
        <w:t xml:space="preserve"> use of multiple, relevant experimental approaches to screen inhaled therapies is </w:t>
      </w:r>
      <w:r w:rsidR="00DE1C85" w:rsidRPr="004B1542">
        <w:rPr>
          <w:b w:val="0"/>
          <w:bCs w:val="0"/>
          <w:sz w:val="20"/>
          <w:szCs w:val="20"/>
          <w:lang w:val="en-AU"/>
        </w:rPr>
        <w:t xml:space="preserve">still </w:t>
      </w:r>
      <w:r w:rsidR="004B36AB" w:rsidRPr="004B1542">
        <w:rPr>
          <w:b w:val="0"/>
          <w:bCs w:val="0"/>
          <w:sz w:val="20"/>
          <w:szCs w:val="20"/>
          <w:lang w:val="en-AU"/>
        </w:rPr>
        <w:t>essential for the translation of preclinical inhaled drug candidates to clinical practice.</w:t>
      </w:r>
      <w:r w:rsidR="000F6414">
        <w:rPr>
          <w:b w:val="0"/>
          <w:bCs w:val="0"/>
          <w:sz w:val="20"/>
          <w:szCs w:val="20"/>
          <w:lang w:val="en-AU"/>
        </w:rPr>
        <w:t xml:space="preserve"> </w:t>
      </w:r>
      <w:r w:rsidRPr="004B1542">
        <w:rPr>
          <w:b w:val="0"/>
          <w:bCs w:val="0"/>
          <w:sz w:val="20"/>
          <w:szCs w:val="20"/>
          <w:lang w:val="en-AU"/>
        </w:rPr>
        <w:t>At this point, it is important to ask what the most important human-relevant experiment is, and if there is a</w:t>
      </w:r>
      <w:r w:rsidR="00E30720">
        <w:rPr>
          <w:b w:val="0"/>
          <w:bCs w:val="0"/>
          <w:sz w:val="20"/>
          <w:szCs w:val="20"/>
          <w:lang w:val="en-AU"/>
        </w:rPr>
        <w:t xml:space="preserve"> </w:t>
      </w:r>
      <w:r w:rsidR="00E30720" w:rsidRPr="00E30720">
        <w:rPr>
          <w:b w:val="0"/>
          <w:bCs w:val="0"/>
          <w:i/>
          <w:iCs/>
          <w:sz w:val="20"/>
          <w:szCs w:val="20"/>
          <w:lang w:val="en-AU"/>
        </w:rPr>
        <w:t>non</w:t>
      </w:r>
      <w:r w:rsidR="00E23E04">
        <w:rPr>
          <w:b w:val="0"/>
          <w:bCs w:val="0"/>
          <w:i/>
          <w:iCs/>
          <w:sz w:val="20"/>
          <w:szCs w:val="20"/>
          <w:lang w:val="en-AU"/>
        </w:rPr>
        <w:t>-</w:t>
      </w:r>
      <w:r w:rsidR="00E30720" w:rsidRPr="00E30720">
        <w:rPr>
          <w:b w:val="0"/>
          <w:bCs w:val="0"/>
          <w:i/>
          <w:iCs/>
          <w:sz w:val="20"/>
          <w:szCs w:val="20"/>
          <w:lang w:val="en-AU"/>
        </w:rPr>
        <w:t>clinical</w:t>
      </w:r>
      <w:r w:rsidR="00E30720">
        <w:rPr>
          <w:b w:val="0"/>
          <w:bCs w:val="0"/>
          <w:sz w:val="20"/>
          <w:szCs w:val="20"/>
          <w:lang w:val="en-AU"/>
        </w:rPr>
        <w:t xml:space="preserve"> </w:t>
      </w:r>
      <w:r w:rsidRPr="004B1542">
        <w:rPr>
          <w:b w:val="0"/>
          <w:bCs w:val="0"/>
          <w:sz w:val="20"/>
          <w:szCs w:val="20"/>
          <w:lang w:val="en-AU"/>
        </w:rPr>
        <w:t xml:space="preserve">model available that has been validated for human clinical mimicry, it should be valid to use this model. Overall, </w:t>
      </w:r>
      <w:r w:rsidR="00E30720">
        <w:rPr>
          <w:b w:val="0"/>
          <w:bCs w:val="0"/>
          <w:i/>
          <w:iCs/>
          <w:sz w:val="20"/>
          <w:szCs w:val="20"/>
          <w:lang w:val="en-AU"/>
        </w:rPr>
        <w:t>non-clinical</w:t>
      </w:r>
      <w:r w:rsidR="0019287A" w:rsidRPr="004B1542">
        <w:rPr>
          <w:b w:val="0"/>
          <w:bCs w:val="0"/>
          <w:i/>
          <w:iCs/>
          <w:sz w:val="20"/>
          <w:szCs w:val="20"/>
          <w:lang w:val="en-AU"/>
        </w:rPr>
        <w:t>,</w:t>
      </w:r>
      <w:r w:rsidRPr="004B1542">
        <w:rPr>
          <w:b w:val="0"/>
          <w:bCs w:val="0"/>
          <w:i/>
          <w:iCs/>
          <w:sz w:val="20"/>
          <w:szCs w:val="20"/>
          <w:lang w:val="en-AU"/>
        </w:rPr>
        <w:t xml:space="preserve"> </w:t>
      </w:r>
      <w:r w:rsidRPr="004B1542">
        <w:rPr>
          <w:b w:val="0"/>
          <w:bCs w:val="0"/>
          <w:sz w:val="20"/>
          <w:szCs w:val="20"/>
          <w:lang w:val="en-AU"/>
        </w:rPr>
        <w:t xml:space="preserve">models could be useful if they are equally </w:t>
      </w:r>
      <w:r w:rsidR="00CF3DE2">
        <w:rPr>
          <w:b w:val="0"/>
          <w:bCs w:val="0"/>
          <w:sz w:val="20"/>
          <w:szCs w:val="20"/>
          <w:lang w:val="en-AU"/>
        </w:rPr>
        <w:t xml:space="preserve">as </w:t>
      </w:r>
      <w:r w:rsidRPr="004B1542">
        <w:rPr>
          <w:b w:val="0"/>
          <w:bCs w:val="0"/>
          <w:sz w:val="20"/>
          <w:szCs w:val="20"/>
          <w:lang w:val="en-AU"/>
        </w:rPr>
        <w:t>good as animal models, and not necessarily better, provided they are equally robust and validated.</w:t>
      </w:r>
      <w:r w:rsidR="00AE52E4" w:rsidRPr="004B1542">
        <w:rPr>
          <w:b w:val="0"/>
          <w:bCs w:val="0"/>
          <w:sz w:val="20"/>
          <w:szCs w:val="20"/>
          <w:lang w:val="en-AU"/>
        </w:rPr>
        <w:t xml:space="preserve"> </w:t>
      </w:r>
    </w:p>
    <w:p w14:paraId="17AE1462" w14:textId="77777777" w:rsidR="00592A49" w:rsidRPr="004B1542" w:rsidRDefault="00592A49" w:rsidP="00592A49">
      <w:pPr>
        <w:pStyle w:val="DDLHeading1"/>
        <w:rPr>
          <w:sz w:val="20"/>
          <w:szCs w:val="20"/>
          <w:lang w:val="en-AU"/>
        </w:rPr>
      </w:pPr>
      <w:r w:rsidRPr="004B1542">
        <w:rPr>
          <w:sz w:val="20"/>
          <w:szCs w:val="20"/>
          <w:lang w:val="en-AU"/>
        </w:rPr>
        <w:t>Conclusions and future directions</w:t>
      </w:r>
    </w:p>
    <w:p w14:paraId="5D43F5D5" w14:textId="726E3DC7" w:rsidR="00EE7CFA" w:rsidRPr="000F6414" w:rsidRDefault="00380415" w:rsidP="00EE7CFA">
      <w:pPr>
        <w:pStyle w:val="DDLBodyText"/>
        <w:rPr>
          <w:kern w:val="32"/>
          <w:sz w:val="20"/>
          <w:lang w:val="en-AU"/>
        </w:rPr>
      </w:pPr>
      <w:r w:rsidRPr="004B1542">
        <w:rPr>
          <w:sz w:val="20"/>
        </w:rPr>
        <w:t xml:space="preserve">We have been stuck in a particular conceptual mode of </w:t>
      </w:r>
      <w:r w:rsidR="00F5215D">
        <w:rPr>
          <w:sz w:val="20"/>
        </w:rPr>
        <w:t xml:space="preserve">undertaking pre-clinical drug development </w:t>
      </w:r>
      <w:r w:rsidRPr="004B1542">
        <w:rPr>
          <w:sz w:val="20"/>
        </w:rPr>
        <w:t>research</w:t>
      </w:r>
      <w:r w:rsidR="00E22B40" w:rsidRPr="004B1542">
        <w:rPr>
          <w:sz w:val="20"/>
        </w:rPr>
        <w:t xml:space="preserve"> for many years now</w:t>
      </w:r>
      <w:r w:rsidRPr="004B1542">
        <w:rPr>
          <w:sz w:val="20"/>
        </w:rPr>
        <w:t>, but change will come as the weight of the evidence for alternatives becomes more robust</w:t>
      </w:r>
      <w:r w:rsidR="00592A49" w:rsidRPr="004B1542">
        <w:rPr>
          <w:kern w:val="32"/>
          <w:sz w:val="20"/>
          <w:lang w:val="en-AU"/>
        </w:rPr>
        <w:t xml:space="preserve">. None of </w:t>
      </w:r>
      <w:r w:rsidR="0054333F">
        <w:rPr>
          <w:kern w:val="32"/>
          <w:sz w:val="20"/>
          <w:lang w:val="en-AU"/>
        </w:rPr>
        <w:t>the current alternative models</w:t>
      </w:r>
      <w:r w:rsidR="00592A49" w:rsidRPr="004B1542">
        <w:rPr>
          <w:kern w:val="32"/>
          <w:sz w:val="20"/>
          <w:lang w:val="en-AU"/>
        </w:rPr>
        <w:t xml:space="preserve"> </w:t>
      </w:r>
      <w:r w:rsidR="00CF3DE2">
        <w:rPr>
          <w:kern w:val="32"/>
          <w:sz w:val="20"/>
          <w:lang w:val="en-AU"/>
        </w:rPr>
        <w:t xml:space="preserve">has </w:t>
      </w:r>
      <w:r w:rsidR="0054333F">
        <w:rPr>
          <w:kern w:val="32"/>
          <w:sz w:val="20"/>
          <w:lang w:val="en-AU"/>
        </w:rPr>
        <w:t xml:space="preserve">yet </w:t>
      </w:r>
      <w:r w:rsidR="00F5215D" w:rsidRPr="004B1542">
        <w:rPr>
          <w:kern w:val="32"/>
          <w:sz w:val="20"/>
          <w:lang w:val="en-AU"/>
        </w:rPr>
        <w:t>fulfil</w:t>
      </w:r>
      <w:r w:rsidR="00CF3DE2">
        <w:rPr>
          <w:kern w:val="32"/>
          <w:sz w:val="20"/>
          <w:lang w:val="en-AU"/>
        </w:rPr>
        <w:t>led</w:t>
      </w:r>
      <w:r w:rsidR="00F5215D" w:rsidRPr="004B1542">
        <w:rPr>
          <w:kern w:val="32"/>
          <w:sz w:val="20"/>
          <w:lang w:val="en-AU"/>
        </w:rPr>
        <w:t xml:space="preserve"> </w:t>
      </w:r>
      <w:r w:rsidR="00592A49" w:rsidRPr="004B1542">
        <w:rPr>
          <w:kern w:val="32"/>
          <w:sz w:val="20"/>
          <w:lang w:val="en-AU"/>
        </w:rPr>
        <w:t xml:space="preserve">all the criteria to perfectly mimic the human </w:t>
      </w:r>
      <w:r w:rsidRPr="004B1542">
        <w:rPr>
          <w:kern w:val="32"/>
          <w:sz w:val="20"/>
          <w:lang w:val="en-AU"/>
        </w:rPr>
        <w:t>respiratory tract</w:t>
      </w:r>
      <w:r w:rsidR="00592A49" w:rsidRPr="004B1542">
        <w:rPr>
          <w:kern w:val="32"/>
          <w:sz w:val="20"/>
          <w:lang w:val="en-AU"/>
        </w:rPr>
        <w:t xml:space="preserve"> and breathing pattern, thus requiring continuous reassessments </w:t>
      </w:r>
      <w:r w:rsidR="00CF3DE2">
        <w:rPr>
          <w:kern w:val="32"/>
          <w:sz w:val="20"/>
          <w:lang w:val="en-AU"/>
        </w:rPr>
        <w:t xml:space="preserve">and improvements </w:t>
      </w:r>
      <w:r w:rsidR="00592A49" w:rsidRPr="004B1542">
        <w:rPr>
          <w:kern w:val="32"/>
          <w:sz w:val="20"/>
          <w:lang w:val="en-AU"/>
        </w:rPr>
        <w:t xml:space="preserve">to make them </w:t>
      </w:r>
      <w:r w:rsidR="00CF3DE2">
        <w:rPr>
          <w:kern w:val="32"/>
          <w:sz w:val="20"/>
          <w:lang w:val="en-AU"/>
        </w:rPr>
        <w:t xml:space="preserve">more </w:t>
      </w:r>
      <w:r w:rsidR="00592A49" w:rsidRPr="004B1542">
        <w:rPr>
          <w:kern w:val="32"/>
          <w:sz w:val="20"/>
          <w:lang w:val="en-AU"/>
        </w:rPr>
        <w:t xml:space="preserve">predictive of the clinical conditions. While unfortunately, traditional </w:t>
      </w:r>
      <w:r w:rsidR="00592A49" w:rsidRPr="004B1542">
        <w:rPr>
          <w:i/>
          <w:iCs/>
          <w:kern w:val="32"/>
          <w:sz w:val="20"/>
          <w:lang w:val="en-AU"/>
        </w:rPr>
        <w:t xml:space="preserve">in </w:t>
      </w:r>
      <w:r w:rsidR="00592A49" w:rsidRPr="004B1542">
        <w:rPr>
          <w:i/>
          <w:iCs/>
          <w:kern w:val="32"/>
          <w:sz w:val="20"/>
          <w:lang w:val="en-AU"/>
        </w:rPr>
        <w:lastRenderedPageBreak/>
        <w:t>vitro</w:t>
      </w:r>
      <w:r w:rsidR="00592A49" w:rsidRPr="004B1542">
        <w:rPr>
          <w:kern w:val="32"/>
          <w:sz w:val="20"/>
          <w:lang w:val="en-AU"/>
        </w:rPr>
        <w:t xml:space="preserve"> culture techniques and animal models are poor predictors of human biology, </w:t>
      </w:r>
      <w:r w:rsidR="00E23E04" w:rsidRPr="00E23E04">
        <w:rPr>
          <w:i/>
          <w:iCs/>
          <w:kern w:val="32"/>
          <w:sz w:val="20"/>
          <w:lang w:val="en-AU"/>
        </w:rPr>
        <w:t>non-clinical</w:t>
      </w:r>
      <w:r w:rsidR="00E23E04">
        <w:rPr>
          <w:kern w:val="32"/>
          <w:sz w:val="20"/>
          <w:lang w:val="en-AU"/>
        </w:rPr>
        <w:t xml:space="preserve"> models</w:t>
      </w:r>
      <w:r w:rsidR="0073501C" w:rsidRPr="004B1542">
        <w:rPr>
          <w:kern w:val="32"/>
          <w:sz w:val="20"/>
          <w:lang w:val="en-AU"/>
        </w:rPr>
        <w:t xml:space="preserve"> </w:t>
      </w:r>
      <w:r w:rsidR="00592A49" w:rsidRPr="004B1542">
        <w:rPr>
          <w:kern w:val="32"/>
          <w:sz w:val="20"/>
          <w:lang w:val="en-AU"/>
        </w:rPr>
        <w:t>could provide a way to meet these new challenges, opening a pandora box of opportunities to help cross-validate and supplement data from traditional methodologies</w:t>
      </w:r>
      <w:r w:rsidR="007B58E2">
        <w:rPr>
          <w:kern w:val="32"/>
          <w:sz w:val="20"/>
          <w:lang w:val="en-AU"/>
        </w:rPr>
        <w:t>,</w:t>
      </w:r>
      <w:r w:rsidR="00592A49" w:rsidRPr="004B1542">
        <w:rPr>
          <w:kern w:val="32"/>
          <w:sz w:val="20"/>
          <w:lang w:val="en-AU"/>
        </w:rPr>
        <w:t xml:space="preserve"> increasing discovery success rates</w:t>
      </w:r>
      <w:r w:rsidR="0073501C" w:rsidRPr="004B1542">
        <w:rPr>
          <w:kern w:val="32"/>
          <w:sz w:val="20"/>
          <w:lang w:val="en-AU"/>
        </w:rPr>
        <w:t xml:space="preserve"> and</w:t>
      </w:r>
      <w:r w:rsidR="00592A49" w:rsidRPr="004B1542">
        <w:rPr>
          <w:kern w:val="32"/>
          <w:sz w:val="20"/>
          <w:lang w:val="en-AU"/>
        </w:rPr>
        <w:t xml:space="preserve"> help</w:t>
      </w:r>
      <w:r w:rsidR="0073501C" w:rsidRPr="004B1542">
        <w:rPr>
          <w:kern w:val="32"/>
          <w:sz w:val="20"/>
          <w:lang w:val="en-AU"/>
        </w:rPr>
        <w:t>ing</w:t>
      </w:r>
      <w:r w:rsidR="00592A49" w:rsidRPr="004B1542">
        <w:rPr>
          <w:kern w:val="32"/>
          <w:sz w:val="20"/>
          <w:lang w:val="en-AU"/>
        </w:rPr>
        <w:t xml:space="preserve"> scientists screen out a greater number of ineffective and unsafe compounds before they ever get to animal trials.</w:t>
      </w:r>
      <w:r w:rsidR="00592A49" w:rsidRPr="004B1542">
        <w:rPr>
          <w:b/>
          <w:bCs/>
          <w:kern w:val="32"/>
          <w:sz w:val="20"/>
          <w:lang w:val="en-AU"/>
        </w:rPr>
        <w:t xml:space="preserve"> </w:t>
      </w:r>
    </w:p>
    <w:p w14:paraId="33300579" w14:textId="28541510" w:rsidR="00592A49" w:rsidRDefault="007D307A" w:rsidP="00CA1820">
      <w:pPr>
        <w:pStyle w:val="DDLHeading1"/>
        <w:rPr>
          <w:szCs w:val="18"/>
        </w:rPr>
      </w:pPr>
      <w:r w:rsidRPr="005B0FA3">
        <w:rPr>
          <w:szCs w:val="18"/>
        </w:rPr>
        <w:t>References</w:t>
      </w:r>
    </w:p>
    <w:p w14:paraId="3593E23D" w14:textId="4E7C0AF5" w:rsidR="00751E87" w:rsidRPr="00751E87" w:rsidRDefault="00751E87" w:rsidP="00751E87">
      <w:pPr>
        <w:pStyle w:val="EndNoteBibliography"/>
        <w:spacing w:after="0"/>
        <w:rPr>
          <w:noProof/>
        </w:rPr>
      </w:pPr>
      <w:r w:rsidRPr="00751E87">
        <w:rPr>
          <w:noProof/>
        </w:rPr>
        <w:t>[1] Rand, P., S.5002-</w:t>
      </w:r>
      <w:r w:rsidRPr="0054333F">
        <w:rPr>
          <w:noProof/>
          <w:szCs w:val="16"/>
        </w:rPr>
        <w:t>FDA</w:t>
      </w:r>
      <w:r w:rsidRPr="00751E87">
        <w:rPr>
          <w:noProof/>
        </w:rPr>
        <w:t xml:space="preserve"> Modernization Act 2.0, in: T. Congress (Ed.)</w:t>
      </w:r>
      <w:r w:rsidR="00CA34BB">
        <w:rPr>
          <w:noProof/>
        </w:rPr>
        <w:t xml:space="preserve"> </w:t>
      </w:r>
      <w:r w:rsidRPr="00751E87">
        <w:rPr>
          <w:noProof/>
        </w:rPr>
        <w:t>USA, 2022.</w:t>
      </w:r>
    </w:p>
    <w:p w14:paraId="12588DD0" w14:textId="3252E6A7" w:rsidR="00751E87" w:rsidRPr="0054333F" w:rsidRDefault="00751E87" w:rsidP="00751E87">
      <w:pPr>
        <w:pStyle w:val="EndNoteBibliography"/>
        <w:spacing w:after="0"/>
        <w:rPr>
          <w:noProof/>
          <w:szCs w:val="16"/>
        </w:rPr>
      </w:pPr>
      <w:r w:rsidRPr="00751E87">
        <w:rPr>
          <w:noProof/>
        </w:rPr>
        <w:t xml:space="preserve">[2] Office, U.H., </w:t>
      </w:r>
      <w:r w:rsidRPr="0054333F">
        <w:rPr>
          <w:noProof/>
          <w:szCs w:val="16"/>
        </w:rPr>
        <w:t>Annual Statistics of Scientific Procedures on Living Animals , Great Britain, 2021, in: T.S. Office (Ed.)</w:t>
      </w:r>
      <w:r w:rsidR="00BD5A58">
        <w:rPr>
          <w:noProof/>
          <w:szCs w:val="16"/>
        </w:rPr>
        <w:t xml:space="preserve"> </w:t>
      </w:r>
      <w:r w:rsidRPr="0054333F">
        <w:rPr>
          <w:noProof/>
          <w:szCs w:val="16"/>
        </w:rPr>
        <w:t>London, UK, 2021.</w:t>
      </w:r>
    </w:p>
    <w:p w14:paraId="523FFAE4" w14:textId="77777777" w:rsidR="00751E87" w:rsidRPr="00751E87" w:rsidRDefault="00751E87" w:rsidP="00751E87">
      <w:pPr>
        <w:pStyle w:val="EndNoteBibliography"/>
        <w:spacing w:after="0"/>
        <w:rPr>
          <w:noProof/>
        </w:rPr>
      </w:pPr>
      <w:r w:rsidRPr="00751E87">
        <w:rPr>
          <w:noProof/>
        </w:rPr>
        <w:t>[3] Balls, M., Animal experimentation and alternatives: time to say goodbye to the Three Rs and hello to humanity?, Altern Lab Anim, 42 (2014) 327-333.</w:t>
      </w:r>
    </w:p>
    <w:p w14:paraId="4AA33B2C" w14:textId="3BD73475" w:rsidR="00751E87" w:rsidRPr="00751E87" w:rsidRDefault="00751E87" w:rsidP="00751E87">
      <w:pPr>
        <w:pStyle w:val="EndNoteBibliography"/>
        <w:spacing w:after="0"/>
        <w:rPr>
          <w:noProof/>
        </w:rPr>
      </w:pPr>
      <w:r w:rsidRPr="00751E87">
        <w:rPr>
          <w:noProof/>
        </w:rPr>
        <w:t xml:space="preserve">[4] Intelligence, P., Clinical Development Success Rates, </w:t>
      </w:r>
      <w:r w:rsidR="00BD5A58">
        <w:rPr>
          <w:noProof/>
        </w:rPr>
        <w:t>3 (</w:t>
      </w:r>
      <w:r w:rsidRPr="00751E87">
        <w:rPr>
          <w:noProof/>
        </w:rPr>
        <w:t>2021</w:t>
      </w:r>
      <w:r w:rsidR="00BD5A58">
        <w:rPr>
          <w:noProof/>
        </w:rPr>
        <w:t>)</w:t>
      </w:r>
      <w:r w:rsidRPr="00751E87">
        <w:rPr>
          <w:noProof/>
        </w:rPr>
        <w:t>.</w:t>
      </w:r>
    </w:p>
    <w:p w14:paraId="518D28C3" w14:textId="77777777" w:rsidR="00751E87" w:rsidRPr="00751E87" w:rsidRDefault="00751E87" w:rsidP="00751E87">
      <w:pPr>
        <w:pStyle w:val="EndNoteBibliography"/>
        <w:spacing w:after="0"/>
        <w:rPr>
          <w:noProof/>
        </w:rPr>
      </w:pPr>
      <w:r w:rsidRPr="00751E87">
        <w:rPr>
          <w:noProof/>
        </w:rPr>
        <w:t>[5] Schreider, J.P., O.G. Raabe, Anatomy of the nasal-pharyngeal airway of experimental animals, Anat Rec, 200 (1981) 195-205.</w:t>
      </w:r>
    </w:p>
    <w:p w14:paraId="502143BE" w14:textId="77777777" w:rsidR="00751E87" w:rsidRPr="00751E87" w:rsidRDefault="00751E87" w:rsidP="00751E87">
      <w:pPr>
        <w:pStyle w:val="EndNoteBibliography"/>
        <w:spacing w:after="0"/>
        <w:rPr>
          <w:noProof/>
        </w:rPr>
      </w:pPr>
      <w:r w:rsidRPr="00751E87">
        <w:rPr>
          <w:noProof/>
        </w:rPr>
        <w:t>[6] Miller, F.J., Dosimetry of Particles: Critical Factors Having Risk Assessment Implications, Inhal Toxicol, 12 Suppl 3 (2000) 389-395.</w:t>
      </w:r>
    </w:p>
    <w:p w14:paraId="65FC1B5D" w14:textId="77777777" w:rsidR="00751E87" w:rsidRPr="00751E87" w:rsidRDefault="00751E87" w:rsidP="00751E87">
      <w:pPr>
        <w:pStyle w:val="EndNoteBibliography"/>
        <w:spacing w:after="0"/>
        <w:rPr>
          <w:noProof/>
        </w:rPr>
      </w:pPr>
      <w:r w:rsidRPr="00751E87">
        <w:rPr>
          <w:noProof/>
        </w:rPr>
        <w:t>[7] Tyler, W.S., Comparative subgross anatomy of lungs. Pleuras, interlobular septa, and distal airways, Am Rev Respir Dis, 128 (1983) S32-36.</w:t>
      </w:r>
    </w:p>
    <w:p w14:paraId="466D9A19" w14:textId="77777777" w:rsidR="00751E87" w:rsidRPr="00751E87" w:rsidRDefault="00751E87" w:rsidP="00751E87">
      <w:pPr>
        <w:pStyle w:val="EndNoteBibliography"/>
        <w:spacing w:after="0"/>
        <w:rPr>
          <w:noProof/>
        </w:rPr>
      </w:pPr>
      <w:r w:rsidRPr="00751E87">
        <w:rPr>
          <w:noProof/>
        </w:rPr>
        <w:t>[8] Phalen, R.F., M.J. Oldham, Tracheobronchial airway structure as revealed by casting techniques, Am Rev Respir Dis, 128 (1983) S1-4.</w:t>
      </w:r>
    </w:p>
    <w:p w14:paraId="65AA6212" w14:textId="77777777" w:rsidR="00751E87" w:rsidRPr="00751E87" w:rsidRDefault="00751E87" w:rsidP="00751E87">
      <w:pPr>
        <w:pStyle w:val="EndNoteBibliography"/>
        <w:spacing w:after="0"/>
        <w:rPr>
          <w:noProof/>
        </w:rPr>
      </w:pPr>
      <w:r w:rsidRPr="00751E87">
        <w:rPr>
          <w:noProof/>
        </w:rPr>
        <w:t>[9] Mercer, R.R., M.L. Russell, J.D. Crapo, Alveolar septal structure in different species, J Appl Physiol (1985), 77 (1994) 1060-1066.</w:t>
      </w:r>
    </w:p>
    <w:p w14:paraId="7CC0BC58" w14:textId="77777777" w:rsidR="00751E87" w:rsidRPr="00751E87" w:rsidRDefault="00751E87" w:rsidP="00751E87">
      <w:pPr>
        <w:pStyle w:val="EndNoteBibliography"/>
        <w:spacing w:after="0"/>
        <w:rPr>
          <w:noProof/>
        </w:rPr>
      </w:pPr>
      <w:r w:rsidRPr="00751E87">
        <w:rPr>
          <w:noProof/>
        </w:rPr>
        <w:t>[10] Tenney, S.M., J.E. Remmers, Comparative quantitative morphology of the mammalian lung: diffusing area, Nature, 197 (1963) 54-56.</w:t>
      </w:r>
    </w:p>
    <w:p w14:paraId="3C24137C" w14:textId="77777777" w:rsidR="00751E87" w:rsidRPr="00751E87" w:rsidRDefault="00751E87" w:rsidP="00751E87">
      <w:pPr>
        <w:pStyle w:val="EndNoteBibliography"/>
        <w:spacing w:after="0"/>
        <w:rPr>
          <w:noProof/>
        </w:rPr>
      </w:pPr>
      <w:r w:rsidRPr="00751E87">
        <w:rPr>
          <w:noProof/>
        </w:rPr>
        <w:t>[11] Krasovskii, G.N., Extrapolation of experimental data from animals to man, Environ Health Perspect, 13 (1976) 51-58.</w:t>
      </w:r>
    </w:p>
    <w:p w14:paraId="253C8EAD" w14:textId="77777777" w:rsidR="00751E87" w:rsidRPr="00751E87" w:rsidRDefault="00751E87" w:rsidP="00751E87">
      <w:pPr>
        <w:pStyle w:val="EndNoteBibliography"/>
        <w:spacing w:after="0"/>
        <w:rPr>
          <w:noProof/>
        </w:rPr>
      </w:pPr>
      <w:r w:rsidRPr="00751E87">
        <w:rPr>
          <w:noProof/>
        </w:rPr>
        <w:t>[12] Martonen TB, Zhang Z, Y. Y, Interspecies modeling of inhaled particle deposition patterns. , J Aerosol Sci., 23 (1992) 389-406.</w:t>
      </w:r>
    </w:p>
    <w:p w14:paraId="5F7BA4DD" w14:textId="59114A3E" w:rsidR="00751E87" w:rsidRPr="00751E87" w:rsidRDefault="00751E87" w:rsidP="00751E87">
      <w:pPr>
        <w:pStyle w:val="EndNoteBibliography"/>
        <w:spacing w:after="0"/>
        <w:rPr>
          <w:noProof/>
        </w:rPr>
      </w:pPr>
      <w:r w:rsidRPr="00751E87">
        <w:rPr>
          <w:noProof/>
        </w:rPr>
        <w:t xml:space="preserve">[13] Yeh, H., B. Muggenberg, J. Harkema, In vivo deposition of inhaled ultrafine particles in the </w:t>
      </w:r>
      <w:r w:rsidR="00B579BE">
        <w:rPr>
          <w:noProof/>
        </w:rPr>
        <w:t>respiratory</w:t>
      </w:r>
      <w:r w:rsidRPr="00751E87">
        <w:rPr>
          <w:noProof/>
        </w:rPr>
        <w:t xml:space="preserve"> tract of rhesus monkeys. , Aerosol Sci Technol, 27 (1997) 465-470.</w:t>
      </w:r>
    </w:p>
    <w:p w14:paraId="13CF5606" w14:textId="77777777" w:rsidR="00751E87" w:rsidRPr="00751E87" w:rsidRDefault="00751E87" w:rsidP="00751E87">
      <w:pPr>
        <w:pStyle w:val="EndNoteBibliography"/>
        <w:spacing w:after="0"/>
        <w:rPr>
          <w:noProof/>
        </w:rPr>
      </w:pPr>
      <w:r w:rsidRPr="00751E87">
        <w:rPr>
          <w:noProof/>
        </w:rPr>
        <w:t>[14] Zhang L, a.Y.C., Empirical equations for nasal deposition of inhaled particles in small laboratory- animals and humans. , Aerosol Sci Technol, 19 (1993) 51-56.</w:t>
      </w:r>
    </w:p>
    <w:p w14:paraId="41E66DBC" w14:textId="77777777" w:rsidR="00751E87" w:rsidRPr="00751E87" w:rsidRDefault="00751E87" w:rsidP="00751E87">
      <w:pPr>
        <w:pStyle w:val="EndNoteBibliography"/>
        <w:spacing w:after="0"/>
        <w:rPr>
          <w:noProof/>
        </w:rPr>
      </w:pPr>
      <w:r w:rsidRPr="00751E87">
        <w:rPr>
          <w:noProof/>
        </w:rPr>
        <w:t>[15] Gosselin, R.D., Guidelines on statistics for researchers using laboratory animals: the essentials, Lab Anim, 53 (2019) 28-42.</w:t>
      </w:r>
    </w:p>
    <w:p w14:paraId="53FA0050" w14:textId="4BD2C2A2" w:rsidR="00751E87" w:rsidRPr="00751E87" w:rsidRDefault="00751E87" w:rsidP="00751E87">
      <w:pPr>
        <w:pStyle w:val="EndNoteBibliography"/>
        <w:spacing w:after="0"/>
        <w:rPr>
          <w:noProof/>
        </w:rPr>
      </w:pPr>
      <w:r w:rsidRPr="00751E87">
        <w:rPr>
          <w:noProof/>
        </w:rPr>
        <w:t xml:space="preserve">[16] Cauvin, A., C. Peters, F. Brennan, Advantages and Limitations of Commonly Used Nonhuman Primate Species in Research and Development of Biopharmaceuticals,  The Nonhuman Primate in Nonclinical drug </w:t>
      </w:r>
      <w:r w:rsidR="00B579BE">
        <w:rPr>
          <w:noProof/>
        </w:rPr>
        <w:t>development</w:t>
      </w:r>
      <w:r w:rsidRPr="00751E87">
        <w:rPr>
          <w:noProof/>
        </w:rPr>
        <w:t xml:space="preserve"> and safety, Academic Press</w:t>
      </w:r>
      <w:r w:rsidR="00BD5A58">
        <w:rPr>
          <w:noProof/>
        </w:rPr>
        <w:t xml:space="preserve"> (</w:t>
      </w:r>
      <w:r w:rsidRPr="00751E87">
        <w:rPr>
          <w:noProof/>
        </w:rPr>
        <w:t>2015</w:t>
      </w:r>
      <w:r w:rsidR="00BD5A58">
        <w:rPr>
          <w:noProof/>
        </w:rPr>
        <w:t>)</w:t>
      </w:r>
      <w:r w:rsidRPr="00751E87">
        <w:rPr>
          <w:noProof/>
        </w:rPr>
        <w:t>, 379</w:t>
      </w:r>
      <w:r w:rsidR="00BD5A58">
        <w:rPr>
          <w:noProof/>
        </w:rPr>
        <w:t>-</w:t>
      </w:r>
      <w:r w:rsidRPr="00751E87">
        <w:rPr>
          <w:noProof/>
        </w:rPr>
        <w:t>395.</w:t>
      </w:r>
    </w:p>
    <w:p w14:paraId="7D3F600A" w14:textId="77777777" w:rsidR="00751E87" w:rsidRPr="00751E87" w:rsidRDefault="00751E87" w:rsidP="00751E87">
      <w:pPr>
        <w:pStyle w:val="EndNoteBibliography"/>
        <w:spacing w:after="0"/>
        <w:rPr>
          <w:noProof/>
        </w:rPr>
      </w:pPr>
      <w:r w:rsidRPr="00751E87">
        <w:rPr>
          <w:noProof/>
        </w:rPr>
        <w:t>[17] Valentin, J.P., R. Bialecki, L. Ewart, T. Hammond, D. Leishmann, S. Lindgren, V. Martinez, C. Pollard, W. Redfern, R. Wallis, A framework to assess the translation of safety pharmacology data to humans, J Pharmacol Toxicol Methods, 60 (2009) 152-158.</w:t>
      </w:r>
    </w:p>
    <w:p w14:paraId="59004CB4" w14:textId="77777777" w:rsidR="00751E87" w:rsidRPr="00751E87" w:rsidRDefault="00751E87" w:rsidP="00751E87">
      <w:pPr>
        <w:pStyle w:val="EndNoteBibliography"/>
        <w:spacing w:after="0"/>
        <w:rPr>
          <w:noProof/>
        </w:rPr>
      </w:pPr>
      <w:r w:rsidRPr="00751E87">
        <w:rPr>
          <w:noProof/>
        </w:rPr>
        <w:t>[18] Fabre, K., B. Berridge, W.R. Proctor, S. Ralston, Y. Will, S.W. Baran, G. Yoder, T.R. Van Vleet, Introduction to a manuscript series on the characterization and use of microphysiological systems (MPS) in pharmaceutical safety and ADME applications, Lab Chip, 20 (2020) 1049-1057.</w:t>
      </w:r>
    </w:p>
    <w:p w14:paraId="5F6D875B" w14:textId="77777777" w:rsidR="00751E87" w:rsidRPr="00751E87" w:rsidRDefault="00751E87" w:rsidP="00751E87">
      <w:pPr>
        <w:pStyle w:val="EndNoteBibliography"/>
        <w:spacing w:after="0"/>
        <w:rPr>
          <w:noProof/>
        </w:rPr>
      </w:pPr>
      <w:r w:rsidRPr="00751E87">
        <w:rPr>
          <w:noProof/>
        </w:rPr>
        <w:t>[19] Bjornson-Hooper, Z.B., G.K. Fragiadakis, M.H. Spitzer, H. Chen, D. Madhireddy, K. Hu, K. Lundsten, D.R. McIlwain, G.P. Nolan, A Comprehensive Atlas of Immunological Differences Between Humans, Mice, and Non-Human Primates, Front Immunol, 13 (2022) 867015.</w:t>
      </w:r>
    </w:p>
    <w:p w14:paraId="0F120FA2" w14:textId="77777777" w:rsidR="00751E87" w:rsidRPr="00751E87" w:rsidRDefault="00751E87" w:rsidP="00751E87">
      <w:pPr>
        <w:pStyle w:val="EndNoteBibliography"/>
        <w:spacing w:after="0"/>
        <w:rPr>
          <w:noProof/>
        </w:rPr>
      </w:pPr>
      <w:r w:rsidRPr="00751E87">
        <w:rPr>
          <w:noProof/>
        </w:rPr>
        <w:t>[20] Arts, J.H., H. Muijser, D. Jonker, J.J. van de Sandt, P.M. Bos, V.J. Feron, Inhalation toxicity studies: OECD guidelines in relation to REACH and scientific developments, Exp Toxicol Pathol, 60 (2008) 125-133.</w:t>
      </w:r>
    </w:p>
    <w:p w14:paraId="71BB18A5" w14:textId="77777777" w:rsidR="00751E87" w:rsidRPr="00751E87" w:rsidRDefault="00751E87" w:rsidP="00751E87">
      <w:pPr>
        <w:pStyle w:val="EndNoteBibliography"/>
        <w:spacing w:after="0"/>
        <w:rPr>
          <w:noProof/>
        </w:rPr>
      </w:pPr>
      <w:r w:rsidRPr="00751E87">
        <w:rPr>
          <w:noProof/>
        </w:rPr>
        <w:t>[21] Haghi, M., D. Traini, P. Young, In vitro cell integrated impactor deposition methodology for the study of aerodynamically relevant size fractions from commercial pressurised metered dose inhalers, Pharm Res, 31 (2014) 1779-1787.</w:t>
      </w:r>
    </w:p>
    <w:p w14:paraId="042843F1" w14:textId="77777777" w:rsidR="00751E87" w:rsidRPr="00751E87" w:rsidRDefault="00751E87" w:rsidP="00751E87">
      <w:pPr>
        <w:pStyle w:val="EndNoteBibliography"/>
        <w:spacing w:after="0"/>
        <w:rPr>
          <w:noProof/>
        </w:rPr>
      </w:pPr>
      <w:r w:rsidRPr="00751E87">
        <w:rPr>
          <w:noProof/>
        </w:rPr>
        <w:t>[22] Wong, C.Y.J., M. Cuendet, W. Spaleniak, H. Gholizadeh, N. Marasini, H.X. Ong, D. Traini, Validation of a cell integrated next-generation impactor to assess in vitro drug transport of physiologically relevant aerosolised particles, Int J Pharm, 624 (2022) 122024.</w:t>
      </w:r>
    </w:p>
    <w:p w14:paraId="0D5EB365" w14:textId="46AE68F7" w:rsidR="00751E87" w:rsidRPr="00751E87" w:rsidRDefault="00751E87" w:rsidP="00751E87">
      <w:pPr>
        <w:pStyle w:val="EndNoteBibliography"/>
        <w:spacing w:after="0"/>
        <w:rPr>
          <w:noProof/>
        </w:rPr>
      </w:pPr>
      <w:r w:rsidRPr="00751E87">
        <w:rPr>
          <w:noProof/>
        </w:rPr>
        <w:t xml:space="preserve">[23] Sheikh, Z., A. Granata, Y. Zhang, H.M.G. Mahvizani, D. Silva, P.M. Young, L. Casettari, H.X. Ong, D. Traini, The development of a 3D-printed in vitro integrated oro-pharyngeal air-liquid interface cellular throat model for drug transport, Drug Deliv Transl Res, </w:t>
      </w:r>
      <w:r w:rsidR="00BD5A58">
        <w:rPr>
          <w:noProof/>
        </w:rPr>
        <w:t xml:space="preserve">13 </w:t>
      </w:r>
      <w:r w:rsidRPr="00751E87">
        <w:rPr>
          <w:noProof/>
        </w:rPr>
        <w:t>(2023)</w:t>
      </w:r>
      <w:r w:rsidR="00BD5A58">
        <w:rPr>
          <w:noProof/>
        </w:rPr>
        <w:t xml:space="preserve"> </w:t>
      </w:r>
      <w:r w:rsidR="00BD5A58" w:rsidRPr="00BD5A58">
        <w:rPr>
          <w:noProof/>
        </w:rPr>
        <w:t>(5)</w:t>
      </w:r>
      <w:r w:rsidR="00BD5A58">
        <w:rPr>
          <w:noProof/>
        </w:rPr>
        <w:t xml:space="preserve"> </w:t>
      </w:r>
      <w:r w:rsidR="00BD5A58" w:rsidRPr="00BD5A58">
        <w:rPr>
          <w:noProof/>
        </w:rPr>
        <w:t xml:space="preserve">1405-1419.  </w:t>
      </w:r>
      <w:r w:rsidRPr="00751E87">
        <w:rPr>
          <w:noProof/>
        </w:rPr>
        <w:t>.</w:t>
      </w:r>
    </w:p>
    <w:p w14:paraId="5B1CF3C0" w14:textId="77777777" w:rsidR="00751E87" w:rsidRPr="00751E87" w:rsidRDefault="00751E87" w:rsidP="00751E87">
      <w:pPr>
        <w:pStyle w:val="EndNoteBibliography"/>
        <w:spacing w:after="0"/>
        <w:rPr>
          <w:noProof/>
        </w:rPr>
      </w:pPr>
      <w:r w:rsidRPr="00751E87">
        <w:rPr>
          <w:noProof/>
        </w:rPr>
        <w:t>[24] Backman, P., S. Arora, W. Couet, B. Forbes, W. de Kruijf, A. Paudel, Advances in experimental and mechanistic computational models to understand pulmonary exposure to inhaled drugs, Eur J Pharm Sci, 113 (2018) 41-52.</w:t>
      </w:r>
    </w:p>
    <w:p w14:paraId="269E34F2" w14:textId="77777777" w:rsidR="00751E87" w:rsidRPr="00751E87" w:rsidRDefault="00751E87" w:rsidP="00751E87">
      <w:pPr>
        <w:pStyle w:val="EndNoteBibliography"/>
        <w:spacing w:after="0"/>
        <w:rPr>
          <w:noProof/>
        </w:rPr>
      </w:pPr>
      <w:r w:rsidRPr="00751E87">
        <w:rPr>
          <w:noProof/>
        </w:rPr>
        <w:t>[25] Backman, P., A. Cabal, A. Clark, C. Ehrhardt, B. Forbes, J. Hastedt, A. Hickey, G. Hochhaus, W. Jiang, S. Kassinos, P.J. Kuehl, D. Prime, Y.J. Son, S.P. Teague, U. Tehler, J. Wylie, iBCS: 2. Mechanistic Modeling of Pulmonary Availability of Inhaled Drugs versus Critical Product Attributes, Mol Pharm, 19 (2022) 2040-2047.</w:t>
      </w:r>
    </w:p>
    <w:p w14:paraId="2FD06776" w14:textId="77777777" w:rsidR="00751E87" w:rsidRPr="00751E87" w:rsidRDefault="00751E87" w:rsidP="00751E87">
      <w:pPr>
        <w:pStyle w:val="EndNoteBibliography"/>
        <w:spacing w:after="0"/>
        <w:rPr>
          <w:noProof/>
        </w:rPr>
      </w:pPr>
      <w:r w:rsidRPr="00751E87">
        <w:rPr>
          <w:noProof/>
        </w:rPr>
        <w:t>[26] Horejs, C., Organ chips, organoids and the animal testing conundrum, Nat Rev Mater, 6 (2021) 372-373.</w:t>
      </w:r>
    </w:p>
    <w:p w14:paraId="3A525880" w14:textId="77777777" w:rsidR="00751E87" w:rsidRPr="00751E87" w:rsidRDefault="00751E87" w:rsidP="00751E87">
      <w:pPr>
        <w:pStyle w:val="EndNoteBibliography"/>
        <w:spacing w:after="0"/>
        <w:rPr>
          <w:noProof/>
        </w:rPr>
      </w:pPr>
      <w:r w:rsidRPr="00751E87">
        <w:rPr>
          <w:noProof/>
        </w:rPr>
        <w:t>[27] Freddolino, P.L., S. Tavazoie, The dawn of virtual cell biology, Cell, 150 (2012) 248-250.</w:t>
      </w:r>
    </w:p>
    <w:p w14:paraId="5C2574F4" w14:textId="77777777" w:rsidR="00751E87" w:rsidRPr="00751E87" w:rsidRDefault="00751E87" w:rsidP="00751E87">
      <w:pPr>
        <w:pStyle w:val="EndNoteBibliography"/>
        <w:spacing w:after="0"/>
        <w:rPr>
          <w:noProof/>
        </w:rPr>
      </w:pPr>
      <w:r w:rsidRPr="00751E87">
        <w:rPr>
          <w:noProof/>
        </w:rPr>
        <w:t>[28] Tian, G., M. Hindle, S. Lee, P.W. Longest, Validating CFD Predictions of Pharmaceutical Aerosol Deposition with In Vivo Data, Pharm Res, 32 (2015) 3170-3187.</w:t>
      </w:r>
    </w:p>
    <w:p w14:paraId="4630EB37" w14:textId="11ADBA2D" w:rsidR="00751E87" w:rsidRPr="00751E87" w:rsidRDefault="00751E87" w:rsidP="00751E87">
      <w:pPr>
        <w:pStyle w:val="EndNoteBibliography"/>
        <w:rPr>
          <w:noProof/>
        </w:rPr>
      </w:pPr>
      <w:r w:rsidRPr="00751E87">
        <w:rPr>
          <w:noProof/>
        </w:rPr>
        <w:t xml:space="preserve">[29] Singh, A.V., M. Varma, P. Laux, S. Choudhary, A.K. Datusalia, N. Gupta, A. Luch, A. Gandhi, P. Kulkarni, B. Nath, Artificial intelligence and machine learning disciplines with the potential to improve the nanotoxicology and nanomedicine fields: a comprehensive review, Arch Toxicol, </w:t>
      </w:r>
      <w:r w:rsidR="00BD5A58">
        <w:rPr>
          <w:noProof/>
        </w:rPr>
        <w:t xml:space="preserve">97 </w:t>
      </w:r>
      <w:r w:rsidRPr="00751E87">
        <w:rPr>
          <w:noProof/>
        </w:rPr>
        <w:t>(2023)</w:t>
      </w:r>
      <w:r w:rsidR="0098119D">
        <w:rPr>
          <w:noProof/>
        </w:rPr>
        <w:t xml:space="preserve"> </w:t>
      </w:r>
      <w:r w:rsidR="0098119D" w:rsidRPr="0098119D">
        <w:rPr>
          <w:noProof/>
        </w:rPr>
        <w:t>963–979</w:t>
      </w:r>
      <w:r w:rsidR="0098119D">
        <w:rPr>
          <w:noProof/>
        </w:rPr>
        <w:t>.</w:t>
      </w:r>
    </w:p>
    <w:p w14:paraId="57DCC100" w14:textId="71F7E794" w:rsidR="00A515A9" w:rsidRPr="00B865D8" w:rsidRDefault="00A515A9" w:rsidP="00B7603A">
      <w:pPr>
        <w:pStyle w:val="DDLBodyText"/>
        <w:spacing w:after="0"/>
        <w:rPr>
          <w:sz w:val="16"/>
          <w:szCs w:val="16"/>
        </w:rPr>
      </w:pPr>
    </w:p>
    <w:sectPr w:rsidR="00A515A9" w:rsidRPr="00B865D8" w:rsidSect="00660395">
      <w:headerReference w:type="even" r:id="rId11"/>
      <w:headerReference w:type="default" r:id="rId12"/>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5A6C9" w14:textId="77777777" w:rsidR="00827E3F" w:rsidRDefault="00827E3F" w:rsidP="00A515A9">
      <w:pPr>
        <w:spacing w:after="0"/>
      </w:pPr>
      <w:r>
        <w:separator/>
      </w:r>
    </w:p>
  </w:endnote>
  <w:endnote w:type="continuationSeparator" w:id="0">
    <w:p w14:paraId="724C2843" w14:textId="77777777" w:rsidR="00827E3F" w:rsidRDefault="00827E3F"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77F6B" w14:textId="77777777" w:rsidR="00827E3F" w:rsidRDefault="00827E3F" w:rsidP="00A515A9">
      <w:pPr>
        <w:spacing w:after="0"/>
      </w:pPr>
      <w:r>
        <w:separator/>
      </w:r>
    </w:p>
  </w:footnote>
  <w:footnote w:type="continuationSeparator" w:id="0">
    <w:p w14:paraId="569DFB4C" w14:textId="77777777" w:rsidR="00827E3F" w:rsidRDefault="00827E3F"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270F59D" w:rsidR="00C126B9" w:rsidRPr="009472CD"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867E68">
      <w:rPr>
        <w:i/>
      </w:rPr>
      <w:t>4</w:t>
    </w:r>
    <w:r w:rsidR="008C5C57" w:rsidRPr="003C58EE">
      <w:rPr>
        <w:i/>
      </w:rPr>
      <w:t>,</w:t>
    </w:r>
    <w:r w:rsidR="00964A86" w:rsidRPr="003C58EE">
      <w:rPr>
        <w:i/>
      </w:rPr>
      <w:t xml:space="preserve"> </w:t>
    </w:r>
    <w:r w:rsidR="00964A86" w:rsidRPr="009472CD">
      <w:rPr>
        <w:i/>
      </w:rPr>
      <w:t>20</w:t>
    </w:r>
    <w:r w:rsidR="00F27E20" w:rsidRPr="009472CD">
      <w:rPr>
        <w:i/>
      </w:rPr>
      <w:t>2</w:t>
    </w:r>
    <w:r w:rsidR="00867E68" w:rsidRPr="009472CD">
      <w:rPr>
        <w:i/>
      </w:rPr>
      <w:t>3</w:t>
    </w:r>
    <w:r w:rsidR="00964A86" w:rsidRPr="009472CD">
      <w:rPr>
        <w:i/>
      </w:rPr>
      <w:t xml:space="preserve"> </w:t>
    </w:r>
    <w:r w:rsidRPr="009472CD">
      <w:rPr>
        <w:i/>
      </w:rPr>
      <w:t xml:space="preserve"> </w:t>
    </w:r>
    <w:r w:rsidR="00990C1E" w:rsidRPr="009472CD">
      <w:rPr>
        <w:i/>
      </w:rPr>
      <w:fldChar w:fldCharType="begin"/>
    </w:r>
    <w:r w:rsidR="00990C1E" w:rsidRPr="009472CD">
      <w:rPr>
        <w:i/>
      </w:rPr>
      <w:instrText xml:space="preserve"> REF Title \h  \* MERGEFORMAT </w:instrText>
    </w:r>
    <w:r w:rsidR="00990C1E" w:rsidRPr="009472CD">
      <w:rPr>
        <w:i/>
      </w:rPr>
    </w:r>
    <w:r w:rsidR="00990C1E" w:rsidRPr="009472CD">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sdt>
          <w:sdtPr>
            <w:rPr>
              <w:i/>
              <w:color w:val="808080"/>
              <w:szCs w:val="18"/>
            </w:rPr>
            <w:alias w:val="Title"/>
            <w:tag w:val="Title"/>
            <w:id w:val="2044316302"/>
            <w:placeholder>
              <w:docPart w:val="0BC54D16B42D2F45B9B8D61E8E2E23E7"/>
            </w:placeholder>
          </w:sdtPr>
          <w:sdtEndPr/>
          <w:sdtContent>
            <w:r w:rsidR="00C43365" w:rsidRPr="009472CD">
              <w:rPr>
                <w:i/>
                <w:szCs w:val="18"/>
              </w:rPr>
              <w:t>Of mice and men: Correlation and clinical relevance of animal models for inhaled pharmaceuticals</w:t>
            </w:r>
          </w:sdtContent>
        </w:sdt>
      </w:sdtContent>
    </w:sdt>
    <w:r w:rsidR="00990C1E" w:rsidRPr="009472CD">
      <w:rPr>
        <w:i/>
      </w:rPr>
      <w:fldChar w:fldCharType="end"/>
    </w:r>
    <w:r w:rsidR="003C58EE" w:rsidRPr="009472CD">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6C94E192"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9472CD">
      <w:rPr>
        <w:i/>
      </w:rPr>
      <w:fldChar w:fldCharType="begin"/>
    </w:r>
    <w:r w:rsidR="00990C1E" w:rsidRPr="009472CD">
      <w:rPr>
        <w:i/>
      </w:rPr>
      <w:instrText xml:space="preserve"> REF Author \h  \* MERGEFORMAT </w:instrText>
    </w:r>
    <w:r w:rsidR="00990C1E" w:rsidRPr="009472CD">
      <w:rPr>
        <w:i/>
      </w:rPr>
    </w:r>
    <w:r w:rsidR="00990C1E" w:rsidRPr="009472CD">
      <w:rPr>
        <w:i/>
      </w:rPr>
      <w:fldChar w:fldCharType="separate"/>
    </w:r>
    <w:sdt>
      <w:sdtPr>
        <w:rPr>
          <w:i/>
        </w:rPr>
        <w:alias w:val="Main Author"/>
        <w:tag w:val="Main Author"/>
        <w:id w:val="592672977"/>
        <w:lock w:val="sdtLocked"/>
        <w:placeholder>
          <w:docPart w:val="4E2C9F6021F8432CB0101249B74C0D54"/>
        </w:placeholder>
      </w:sdtPr>
      <w:sdtEndPr>
        <w:rPr>
          <w:szCs w:val="18"/>
        </w:rPr>
      </w:sdtEndPr>
      <w:sdtContent>
        <w:r w:rsidR="009472CD" w:rsidRPr="009472CD">
          <w:rPr>
            <w:i/>
          </w:rPr>
          <w:t>Daniela</w:t>
        </w:r>
        <w:r w:rsidR="009472CD" w:rsidRPr="009472CD">
          <w:rPr>
            <w:rStyle w:val="PlaceholderText"/>
            <w:i/>
          </w:rPr>
          <w:t xml:space="preserve"> </w:t>
        </w:r>
        <w:r w:rsidR="009472CD" w:rsidRPr="009472CD">
          <w:rPr>
            <w:i/>
            <w:szCs w:val="18"/>
          </w:rPr>
          <w:t>Traini</w:t>
        </w:r>
      </w:sdtContent>
    </w:sdt>
    <w:r w:rsidR="00990C1E" w:rsidRPr="009472CD">
      <w:rPr>
        <w: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dv Drug Delivery Rev Copy&lt;/Style&gt;&lt;LeftDelim&gt;{&lt;/LeftDelim&gt;&lt;RightDelim&gt;}&lt;/RightDelim&gt;&lt;FontName&gt;Arial&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rtwdawyvwd9oerrpsx5dr8xdxxa5ved92e&quot;&gt;DDL23&lt;record-ids&gt;&lt;item&gt;1&lt;/item&gt;&lt;item&gt;3&lt;/item&gt;&lt;item&gt;6&lt;/item&gt;&lt;item&gt;7&lt;/item&gt;&lt;item&gt;10&lt;/item&gt;&lt;item&gt;12&lt;/item&gt;&lt;item&gt;13&lt;/item&gt;&lt;item&gt;14&lt;/item&gt;&lt;item&gt;18&lt;/item&gt;&lt;item&gt;19&lt;/item&gt;&lt;item&gt;20&lt;/item&gt;&lt;item&gt;21&lt;/item&gt;&lt;item&gt;22&lt;/item&gt;&lt;item&gt;23&lt;/item&gt;&lt;item&gt;25&lt;/item&gt;&lt;item&gt;26&lt;/item&gt;&lt;item&gt;28&lt;/item&gt;&lt;item&gt;30&lt;/item&gt;&lt;item&gt;31&lt;/item&gt;&lt;item&gt;33&lt;/item&gt;&lt;item&gt;34&lt;/item&gt;&lt;item&gt;35&lt;/item&gt;&lt;item&gt;36&lt;/item&gt;&lt;item&gt;39&lt;/item&gt;&lt;item&gt;40&lt;/item&gt;&lt;item&gt;41&lt;/item&gt;&lt;item&gt;42&lt;/item&gt;&lt;item&gt;43&lt;/item&gt;&lt;item&gt;44&lt;/item&gt;&lt;/record-ids&gt;&lt;/item&gt;&lt;/Libraries&gt;"/>
  </w:docVars>
  <w:rsids>
    <w:rsidRoot w:val="000E77D5"/>
    <w:rsid w:val="0000715D"/>
    <w:rsid w:val="0001616D"/>
    <w:rsid w:val="00016641"/>
    <w:rsid w:val="00032260"/>
    <w:rsid w:val="00042D62"/>
    <w:rsid w:val="00054372"/>
    <w:rsid w:val="0006467A"/>
    <w:rsid w:val="000A2590"/>
    <w:rsid w:val="000A5A12"/>
    <w:rsid w:val="000E77D5"/>
    <w:rsid w:val="000F6414"/>
    <w:rsid w:val="0012224E"/>
    <w:rsid w:val="00123E17"/>
    <w:rsid w:val="00134FB6"/>
    <w:rsid w:val="001516A0"/>
    <w:rsid w:val="00160344"/>
    <w:rsid w:val="001604DB"/>
    <w:rsid w:val="001834C8"/>
    <w:rsid w:val="0019287A"/>
    <w:rsid w:val="001942DB"/>
    <w:rsid w:val="001A0273"/>
    <w:rsid w:val="001A376F"/>
    <w:rsid w:val="001B0E1B"/>
    <w:rsid w:val="001C1A34"/>
    <w:rsid w:val="001D0EDD"/>
    <w:rsid w:val="001F70F6"/>
    <w:rsid w:val="001F79B3"/>
    <w:rsid w:val="00217310"/>
    <w:rsid w:val="00217845"/>
    <w:rsid w:val="00230C93"/>
    <w:rsid w:val="00231C18"/>
    <w:rsid w:val="00244C17"/>
    <w:rsid w:val="00245763"/>
    <w:rsid w:val="002666D8"/>
    <w:rsid w:val="00277958"/>
    <w:rsid w:val="00283F05"/>
    <w:rsid w:val="00287EA3"/>
    <w:rsid w:val="0029067A"/>
    <w:rsid w:val="002A3E34"/>
    <w:rsid w:val="002A753D"/>
    <w:rsid w:val="002B74ED"/>
    <w:rsid w:val="002E77AE"/>
    <w:rsid w:val="002F38E3"/>
    <w:rsid w:val="00307D7A"/>
    <w:rsid w:val="00310490"/>
    <w:rsid w:val="00311E4A"/>
    <w:rsid w:val="0031528C"/>
    <w:rsid w:val="00323FE7"/>
    <w:rsid w:val="0033185B"/>
    <w:rsid w:val="0034725F"/>
    <w:rsid w:val="00377AD7"/>
    <w:rsid w:val="00380415"/>
    <w:rsid w:val="00387ECA"/>
    <w:rsid w:val="0039248E"/>
    <w:rsid w:val="003B1031"/>
    <w:rsid w:val="003B383B"/>
    <w:rsid w:val="003B65D1"/>
    <w:rsid w:val="003C568E"/>
    <w:rsid w:val="003C58EE"/>
    <w:rsid w:val="003C6A3B"/>
    <w:rsid w:val="003D10FC"/>
    <w:rsid w:val="003D3DDE"/>
    <w:rsid w:val="003D7C47"/>
    <w:rsid w:val="003E5D10"/>
    <w:rsid w:val="003F37A9"/>
    <w:rsid w:val="00404A4E"/>
    <w:rsid w:val="0040614F"/>
    <w:rsid w:val="0041018A"/>
    <w:rsid w:val="00424C98"/>
    <w:rsid w:val="00427F09"/>
    <w:rsid w:val="00432E8E"/>
    <w:rsid w:val="00442036"/>
    <w:rsid w:val="00444A63"/>
    <w:rsid w:val="00447700"/>
    <w:rsid w:val="00457EA0"/>
    <w:rsid w:val="00490C5A"/>
    <w:rsid w:val="00496006"/>
    <w:rsid w:val="004A684A"/>
    <w:rsid w:val="004B1542"/>
    <w:rsid w:val="004B2051"/>
    <w:rsid w:val="004B36AB"/>
    <w:rsid w:val="004B6D88"/>
    <w:rsid w:val="004C1847"/>
    <w:rsid w:val="004D5A83"/>
    <w:rsid w:val="004D62E0"/>
    <w:rsid w:val="004E7059"/>
    <w:rsid w:val="004F7E1D"/>
    <w:rsid w:val="004F7F64"/>
    <w:rsid w:val="005118F9"/>
    <w:rsid w:val="00514AE3"/>
    <w:rsid w:val="005302DC"/>
    <w:rsid w:val="005303CA"/>
    <w:rsid w:val="005305C6"/>
    <w:rsid w:val="005357DB"/>
    <w:rsid w:val="00541F41"/>
    <w:rsid w:val="0054333F"/>
    <w:rsid w:val="00544864"/>
    <w:rsid w:val="00544FB7"/>
    <w:rsid w:val="00565D5A"/>
    <w:rsid w:val="00582113"/>
    <w:rsid w:val="00591DC8"/>
    <w:rsid w:val="00592A49"/>
    <w:rsid w:val="00593A46"/>
    <w:rsid w:val="00596663"/>
    <w:rsid w:val="005B0FA3"/>
    <w:rsid w:val="005B5FD9"/>
    <w:rsid w:val="005D1383"/>
    <w:rsid w:val="005D441D"/>
    <w:rsid w:val="005F4472"/>
    <w:rsid w:val="006047B7"/>
    <w:rsid w:val="00613573"/>
    <w:rsid w:val="006220F6"/>
    <w:rsid w:val="00623DF2"/>
    <w:rsid w:val="00631B86"/>
    <w:rsid w:val="00642787"/>
    <w:rsid w:val="00660395"/>
    <w:rsid w:val="00671088"/>
    <w:rsid w:val="00676DA7"/>
    <w:rsid w:val="00677708"/>
    <w:rsid w:val="00686D0B"/>
    <w:rsid w:val="006939BC"/>
    <w:rsid w:val="00697AE7"/>
    <w:rsid w:val="006A7D26"/>
    <w:rsid w:val="006B12B5"/>
    <w:rsid w:val="006B3D22"/>
    <w:rsid w:val="006E1C6F"/>
    <w:rsid w:val="006F0288"/>
    <w:rsid w:val="00706395"/>
    <w:rsid w:val="0070763C"/>
    <w:rsid w:val="00711C1F"/>
    <w:rsid w:val="00715F4B"/>
    <w:rsid w:val="0072212A"/>
    <w:rsid w:val="00730103"/>
    <w:rsid w:val="00733FD4"/>
    <w:rsid w:val="0073501C"/>
    <w:rsid w:val="00736287"/>
    <w:rsid w:val="00751E87"/>
    <w:rsid w:val="007735FD"/>
    <w:rsid w:val="00774E51"/>
    <w:rsid w:val="00781E78"/>
    <w:rsid w:val="0078212D"/>
    <w:rsid w:val="00784010"/>
    <w:rsid w:val="00786A68"/>
    <w:rsid w:val="00786CAD"/>
    <w:rsid w:val="00787F68"/>
    <w:rsid w:val="007B2BEC"/>
    <w:rsid w:val="007B38B6"/>
    <w:rsid w:val="007B58E2"/>
    <w:rsid w:val="007C5259"/>
    <w:rsid w:val="007D307A"/>
    <w:rsid w:val="007E2F09"/>
    <w:rsid w:val="007E4351"/>
    <w:rsid w:val="007E76F2"/>
    <w:rsid w:val="007F4672"/>
    <w:rsid w:val="00800F86"/>
    <w:rsid w:val="00804EEB"/>
    <w:rsid w:val="008050EA"/>
    <w:rsid w:val="00810AE2"/>
    <w:rsid w:val="00821655"/>
    <w:rsid w:val="00827E3F"/>
    <w:rsid w:val="00836B77"/>
    <w:rsid w:val="00837ED2"/>
    <w:rsid w:val="008443EE"/>
    <w:rsid w:val="0084598F"/>
    <w:rsid w:val="00852676"/>
    <w:rsid w:val="00860916"/>
    <w:rsid w:val="00862BDB"/>
    <w:rsid w:val="00867E68"/>
    <w:rsid w:val="00870B52"/>
    <w:rsid w:val="008779F3"/>
    <w:rsid w:val="00881895"/>
    <w:rsid w:val="008A16F9"/>
    <w:rsid w:val="008B02F1"/>
    <w:rsid w:val="008B4BF0"/>
    <w:rsid w:val="008C5C57"/>
    <w:rsid w:val="008C7F2D"/>
    <w:rsid w:val="008D115B"/>
    <w:rsid w:val="008D4D8B"/>
    <w:rsid w:val="008D7F19"/>
    <w:rsid w:val="008F2A41"/>
    <w:rsid w:val="00916C78"/>
    <w:rsid w:val="00930DA1"/>
    <w:rsid w:val="0093458B"/>
    <w:rsid w:val="00941946"/>
    <w:rsid w:val="009472CD"/>
    <w:rsid w:val="0095324F"/>
    <w:rsid w:val="00955900"/>
    <w:rsid w:val="00964A86"/>
    <w:rsid w:val="00966CD3"/>
    <w:rsid w:val="00974E37"/>
    <w:rsid w:val="0098119D"/>
    <w:rsid w:val="009818AC"/>
    <w:rsid w:val="00990C1E"/>
    <w:rsid w:val="00996628"/>
    <w:rsid w:val="009A0009"/>
    <w:rsid w:val="009A1638"/>
    <w:rsid w:val="009A4453"/>
    <w:rsid w:val="009A52B9"/>
    <w:rsid w:val="009A5E01"/>
    <w:rsid w:val="009B0509"/>
    <w:rsid w:val="009C6C08"/>
    <w:rsid w:val="009D1A31"/>
    <w:rsid w:val="009D1CB7"/>
    <w:rsid w:val="009D5953"/>
    <w:rsid w:val="009D77B3"/>
    <w:rsid w:val="009E5787"/>
    <w:rsid w:val="009E7542"/>
    <w:rsid w:val="00A0358B"/>
    <w:rsid w:val="00A13504"/>
    <w:rsid w:val="00A14F14"/>
    <w:rsid w:val="00A32640"/>
    <w:rsid w:val="00A35271"/>
    <w:rsid w:val="00A46DAE"/>
    <w:rsid w:val="00A515A9"/>
    <w:rsid w:val="00A67298"/>
    <w:rsid w:val="00A8428D"/>
    <w:rsid w:val="00A94905"/>
    <w:rsid w:val="00AA1175"/>
    <w:rsid w:val="00AA74BE"/>
    <w:rsid w:val="00AB5E96"/>
    <w:rsid w:val="00AC04A2"/>
    <w:rsid w:val="00AD115D"/>
    <w:rsid w:val="00AE52E4"/>
    <w:rsid w:val="00B122AD"/>
    <w:rsid w:val="00B25B95"/>
    <w:rsid w:val="00B412B3"/>
    <w:rsid w:val="00B42A7F"/>
    <w:rsid w:val="00B5120E"/>
    <w:rsid w:val="00B54843"/>
    <w:rsid w:val="00B55646"/>
    <w:rsid w:val="00B579BE"/>
    <w:rsid w:val="00B719D1"/>
    <w:rsid w:val="00B7603A"/>
    <w:rsid w:val="00B804AB"/>
    <w:rsid w:val="00B85B0C"/>
    <w:rsid w:val="00B865D8"/>
    <w:rsid w:val="00B906A5"/>
    <w:rsid w:val="00B94313"/>
    <w:rsid w:val="00BB2738"/>
    <w:rsid w:val="00BB33A4"/>
    <w:rsid w:val="00BB4EB1"/>
    <w:rsid w:val="00BC0021"/>
    <w:rsid w:val="00BC18E1"/>
    <w:rsid w:val="00BC30C2"/>
    <w:rsid w:val="00BC3B49"/>
    <w:rsid w:val="00BD5A58"/>
    <w:rsid w:val="00BD68AD"/>
    <w:rsid w:val="00BD6A30"/>
    <w:rsid w:val="00BD70D3"/>
    <w:rsid w:val="00BD7DE3"/>
    <w:rsid w:val="00BE79B2"/>
    <w:rsid w:val="00C01B47"/>
    <w:rsid w:val="00C0283C"/>
    <w:rsid w:val="00C126B9"/>
    <w:rsid w:val="00C43365"/>
    <w:rsid w:val="00C543B6"/>
    <w:rsid w:val="00C5513E"/>
    <w:rsid w:val="00C65A37"/>
    <w:rsid w:val="00C6681A"/>
    <w:rsid w:val="00C71536"/>
    <w:rsid w:val="00C72404"/>
    <w:rsid w:val="00C743F1"/>
    <w:rsid w:val="00C974E1"/>
    <w:rsid w:val="00CA1820"/>
    <w:rsid w:val="00CA34BB"/>
    <w:rsid w:val="00CA5534"/>
    <w:rsid w:val="00CC1B69"/>
    <w:rsid w:val="00CE39C8"/>
    <w:rsid w:val="00CE7A9A"/>
    <w:rsid w:val="00CF24A7"/>
    <w:rsid w:val="00CF3DE2"/>
    <w:rsid w:val="00CF7D1B"/>
    <w:rsid w:val="00D075F7"/>
    <w:rsid w:val="00D1209B"/>
    <w:rsid w:val="00D156FE"/>
    <w:rsid w:val="00D23C41"/>
    <w:rsid w:val="00D26210"/>
    <w:rsid w:val="00D41A7C"/>
    <w:rsid w:val="00D47884"/>
    <w:rsid w:val="00D54376"/>
    <w:rsid w:val="00D555EE"/>
    <w:rsid w:val="00D566D3"/>
    <w:rsid w:val="00D67A60"/>
    <w:rsid w:val="00D72D5F"/>
    <w:rsid w:val="00D773F5"/>
    <w:rsid w:val="00D85CE6"/>
    <w:rsid w:val="00D93537"/>
    <w:rsid w:val="00D94BB7"/>
    <w:rsid w:val="00D9655E"/>
    <w:rsid w:val="00DB349E"/>
    <w:rsid w:val="00DD2EE3"/>
    <w:rsid w:val="00DD4A2D"/>
    <w:rsid w:val="00DD5EB8"/>
    <w:rsid w:val="00DE0973"/>
    <w:rsid w:val="00DE1C85"/>
    <w:rsid w:val="00DE53F7"/>
    <w:rsid w:val="00DE6AE7"/>
    <w:rsid w:val="00DF1745"/>
    <w:rsid w:val="00DF392A"/>
    <w:rsid w:val="00E00624"/>
    <w:rsid w:val="00E04274"/>
    <w:rsid w:val="00E108CE"/>
    <w:rsid w:val="00E14DBF"/>
    <w:rsid w:val="00E22B40"/>
    <w:rsid w:val="00E23E04"/>
    <w:rsid w:val="00E30720"/>
    <w:rsid w:val="00E42945"/>
    <w:rsid w:val="00E50589"/>
    <w:rsid w:val="00E51903"/>
    <w:rsid w:val="00E62590"/>
    <w:rsid w:val="00E92FCA"/>
    <w:rsid w:val="00E9667D"/>
    <w:rsid w:val="00E97489"/>
    <w:rsid w:val="00EA530D"/>
    <w:rsid w:val="00EC2143"/>
    <w:rsid w:val="00ED26A8"/>
    <w:rsid w:val="00ED747C"/>
    <w:rsid w:val="00EE7503"/>
    <w:rsid w:val="00EE7CFA"/>
    <w:rsid w:val="00F15D45"/>
    <w:rsid w:val="00F20F19"/>
    <w:rsid w:val="00F2495D"/>
    <w:rsid w:val="00F27E20"/>
    <w:rsid w:val="00F3080A"/>
    <w:rsid w:val="00F435EA"/>
    <w:rsid w:val="00F45C5F"/>
    <w:rsid w:val="00F5215D"/>
    <w:rsid w:val="00F8717D"/>
    <w:rsid w:val="00FA5A11"/>
    <w:rsid w:val="00FA6F23"/>
    <w:rsid w:val="00FC33BA"/>
    <w:rsid w:val="00FC6198"/>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EndNoteBibliographyTitle">
    <w:name w:val="EndNote Bibliography Title"/>
    <w:basedOn w:val="Normal"/>
    <w:link w:val="EndNoteBibliographyTitleChar"/>
    <w:rsid w:val="005B0FA3"/>
    <w:pPr>
      <w:spacing w:after="0"/>
      <w:jc w:val="center"/>
    </w:pPr>
    <w:rPr>
      <w:rFonts w:cs="Arial"/>
      <w:sz w:val="16"/>
    </w:rPr>
  </w:style>
  <w:style w:type="character" w:customStyle="1" w:styleId="EndNoteBibliographyTitleChar">
    <w:name w:val="EndNote Bibliography Title Char"/>
    <w:basedOn w:val="DefaultParagraphFont"/>
    <w:link w:val="EndNoteBibliographyTitle"/>
    <w:rsid w:val="005B0FA3"/>
    <w:rPr>
      <w:rFonts w:ascii="Arial" w:hAnsi="Arial" w:cs="Arial"/>
      <w:sz w:val="16"/>
    </w:rPr>
  </w:style>
  <w:style w:type="paragraph" w:customStyle="1" w:styleId="EndNoteBibliography">
    <w:name w:val="EndNote Bibliography"/>
    <w:basedOn w:val="Normal"/>
    <w:link w:val="EndNoteBibliographyChar"/>
    <w:rsid w:val="005B0FA3"/>
    <w:rPr>
      <w:rFonts w:cs="Arial"/>
      <w:sz w:val="16"/>
    </w:rPr>
  </w:style>
  <w:style w:type="character" w:customStyle="1" w:styleId="EndNoteBibliographyChar">
    <w:name w:val="EndNote Bibliography Char"/>
    <w:basedOn w:val="DefaultParagraphFont"/>
    <w:link w:val="EndNoteBibliography"/>
    <w:rsid w:val="005B0FA3"/>
    <w:rPr>
      <w:rFonts w:ascii="Arial" w:hAnsi="Arial" w:cs="Arial"/>
      <w:sz w:val="16"/>
    </w:rPr>
  </w:style>
  <w:style w:type="character" w:styleId="UnresolvedMention">
    <w:name w:val="Unresolved Mention"/>
    <w:basedOn w:val="DefaultParagraphFont"/>
    <w:uiPriority w:val="99"/>
    <w:semiHidden/>
    <w:unhideWhenUsed/>
    <w:rsid w:val="005B0F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91328393">
      <w:bodyDiv w:val="1"/>
      <w:marLeft w:val="0"/>
      <w:marRight w:val="0"/>
      <w:marTop w:val="0"/>
      <w:marBottom w:val="0"/>
      <w:divBdr>
        <w:top w:val="none" w:sz="0" w:space="0" w:color="auto"/>
        <w:left w:val="none" w:sz="0" w:space="0" w:color="auto"/>
        <w:bottom w:val="none" w:sz="0" w:space="0" w:color="auto"/>
        <w:right w:val="none" w:sz="0" w:space="0" w:color="auto"/>
      </w:divBdr>
      <w:divsChild>
        <w:div w:id="868377449">
          <w:marLeft w:val="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0BC54D16B42D2F45B9B8D61E8E2E23E7"/>
        <w:category>
          <w:name w:val="General"/>
          <w:gallery w:val="placeholder"/>
        </w:category>
        <w:types>
          <w:type w:val="bbPlcHdr"/>
        </w:types>
        <w:behaviors>
          <w:behavior w:val="content"/>
        </w:behaviors>
        <w:guid w:val="{E145F144-C668-F64B-B328-2508A0D070AE}"/>
      </w:docPartPr>
      <w:docPartBody>
        <w:p w:rsidR="00370893" w:rsidRDefault="00284533" w:rsidP="00284533">
          <w:pPr>
            <w:pStyle w:val="0BC54D16B42D2F45B9B8D61E8E2E23E7"/>
          </w:pPr>
          <w:r w:rsidRPr="00160344">
            <w:rPr>
              <w:rStyle w:val="PlaceholderText"/>
              <w:color w:val="auto"/>
            </w:rPr>
            <w:t>Title of Your Paper</w:t>
          </w:r>
        </w:p>
      </w:docPartBody>
    </w:docPart>
    <w:docPart>
      <w:docPartPr>
        <w:name w:val="4E2C9F6021F8432CB0101249B74C0D54"/>
        <w:category>
          <w:name w:val="General"/>
          <w:gallery w:val="placeholder"/>
        </w:category>
        <w:types>
          <w:type w:val="bbPlcHdr"/>
        </w:types>
        <w:behaviors>
          <w:behavior w:val="content"/>
        </w:behaviors>
        <w:guid w:val="{221BF068-B497-47E6-AF65-7F54D96AC0A3}"/>
      </w:docPartPr>
      <w:docPartBody>
        <w:p w:rsidR="0040709A" w:rsidRDefault="0040709A" w:rsidP="0040709A">
          <w:pPr>
            <w:pStyle w:val="4E2C9F6021F8432CB0101249B74C0D54"/>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A7807"/>
    <w:rsid w:val="00134A2D"/>
    <w:rsid w:val="001703F7"/>
    <w:rsid w:val="00186909"/>
    <w:rsid w:val="00194847"/>
    <w:rsid w:val="001D4D96"/>
    <w:rsid w:val="00284533"/>
    <w:rsid w:val="003009AF"/>
    <w:rsid w:val="00370893"/>
    <w:rsid w:val="0040709A"/>
    <w:rsid w:val="004A5D97"/>
    <w:rsid w:val="005025F8"/>
    <w:rsid w:val="00517639"/>
    <w:rsid w:val="00623571"/>
    <w:rsid w:val="006D1F41"/>
    <w:rsid w:val="007D1478"/>
    <w:rsid w:val="00943A37"/>
    <w:rsid w:val="009A1D10"/>
    <w:rsid w:val="009F0831"/>
    <w:rsid w:val="00AD0A82"/>
    <w:rsid w:val="00B01474"/>
    <w:rsid w:val="00B028C8"/>
    <w:rsid w:val="00CA38D4"/>
    <w:rsid w:val="00CF1D98"/>
    <w:rsid w:val="00D2505C"/>
    <w:rsid w:val="00DB04D1"/>
    <w:rsid w:val="00DC0FFC"/>
    <w:rsid w:val="00DC4F0A"/>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09A"/>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0BC54D16B42D2F45B9B8D61E8E2E23E7">
    <w:name w:val="0BC54D16B42D2F45B9B8D61E8E2E23E7"/>
    <w:rsid w:val="00284533"/>
    <w:pPr>
      <w:spacing w:after="0" w:line="240" w:lineRule="auto"/>
    </w:pPr>
    <w:rPr>
      <w:kern w:val="2"/>
      <w:sz w:val="24"/>
      <w:szCs w:val="24"/>
      <w:lang w:val="en-AU"/>
      <w14:ligatures w14:val="standardContextual"/>
    </w:rPr>
  </w:style>
  <w:style w:type="paragraph" w:customStyle="1" w:styleId="E22EDF26205A4115B9BABFA167083DC2">
    <w:name w:val="E22EDF26205A4115B9BABFA167083DC2"/>
    <w:rsid w:val="0040709A"/>
    <w:rPr>
      <w:kern w:val="2"/>
      <w14:ligatures w14:val="standardContextual"/>
    </w:rPr>
  </w:style>
  <w:style w:type="paragraph" w:customStyle="1" w:styleId="8518EA553AD64DE38594D920225D2E83">
    <w:name w:val="8518EA553AD64DE38594D920225D2E83"/>
    <w:rsid w:val="0040709A"/>
    <w:rPr>
      <w:kern w:val="2"/>
      <w14:ligatures w14:val="standardContextual"/>
    </w:rPr>
  </w:style>
  <w:style w:type="paragraph" w:customStyle="1" w:styleId="4E2C9F6021F8432CB0101249B74C0D54">
    <w:name w:val="4E2C9F6021F8432CB0101249B74C0D54"/>
    <w:rsid w:val="0040709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DA0955-1460-174E-B59F-D5DBD5835DF0}">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6" ma:contentTypeDescription="Create a new document." ma:contentTypeScope="" ma:versionID="3b77a0fe2d9c5f5fa8446f74fbabbb68">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705ba04dbffd1ec234430b0dd9b096d0"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A05217BA-055F-4F82-BB0F-E25D2461C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2366</Words>
  <Characters>13576</Characters>
  <Application>Microsoft Office Word</Application>
  <DocSecurity>4</DocSecurity>
  <Lines>113</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2023-10-15T08:39:00Z</dcterms:created>
  <dcterms:modified xsi:type="dcterms:W3CDTF">2023-10-15T08:39:00Z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grammarly_documentId">
    <vt:lpwstr>documentId_3718</vt:lpwstr>
  </property>
  <property fmtid="{D5CDD505-2E9C-101B-9397-08002B2CF9AE}" pid="5" name="grammarly_documentContext">
    <vt:lpwstr>{"goals":[],"domain":"general","emotions":[],"dialect":"australian"}</vt:lpwstr>
  </property>
</Properties>
</file>