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Title" w:displacedByCustomXml="next"/>
    <w:sdt>
      <w:sdtPr>
        <w:rPr>
          <w:sz w:val="20"/>
          <w:szCs w:val="20"/>
        </w:rPr>
        <w:alias w:val="Title"/>
        <w:tag w:val="Title"/>
        <w:id w:val="-912845432"/>
        <w:lock w:val="sdtLocked"/>
        <w:placeholder>
          <w:docPart w:val="F93874C70D8C44D6B0BA71800E08656C"/>
        </w:placeholder>
      </w:sdtPr>
      <w:sdtEndPr/>
      <w:sdtContent>
        <w:p w14:paraId="2F056DA5" w14:textId="4E58423D" w:rsidR="000E77D5" w:rsidRPr="00EF6AB3" w:rsidRDefault="00EF6AB3" w:rsidP="00EF6AB3">
          <w:pPr>
            <w:pStyle w:val="DDLTitle"/>
            <w:rPr>
              <w:sz w:val="20"/>
              <w:szCs w:val="20"/>
            </w:rPr>
          </w:pPr>
          <w:r w:rsidRPr="00EF6AB3">
            <w:rPr>
              <w:sz w:val="20"/>
              <w:szCs w:val="20"/>
            </w:rPr>
            <w:t>A functional study of tubing material for</w:t>
          </w:r>
          <w:r>
            <w:rPr>
              <w:sz w:val="20"/>
              <w:szCs w:val="20"/>
            </w:rPr>
            <w:t xml:space="preserve"> the</w:t>
          </w:r>
          <w:r w:rsidRPr="00EF6AB3">
            <w:rPr>
              <w:sz w:val="20"/>
              <w:szCs w:val="20"/>
            </w:rPr>
            <w:t xml:space="preserve"> spray drying of mRNA-lipoplexes</w:t>
          </w:r>
        </w:p>
      </w:sdtContent>
    </w:sdt>
    <w:bookmarkEnd w:id="0" w:displacedByCustomXml="prev"/>
    <w:bookmarkStart w:id="1" w:name="Author"/>
    <w:p w14:paraId="7E4C1579" w14:textId="77777777" w:rsidR="00C65A37" w:rsidRPr="00E83452" w:rsidRDefault="002460E3" w:rsidP="00AD115D">
      <w:pPr>
        <w:pStyle w:val="DDLSubtitle"/>
      </w:pPr>
      <w:sdt>
        <w:sdtPr>
          <w:rPr>
            <w:u w:val="single"/>
          </w:rPr>
          <w:alias w:val="Main Author"/>
          <w:tag w:val="Main Author"/>
          <w:id w:val="854543900"/>
          <w:lock w:val="sdtLocked"/>
          <w:placeholder>
            <w:docPart w:val="38BA82FFF2774C26AC6862CFB8BB55DB"/>
          </w:placeholder>
        </w:sdtPr>
        <w:sdtEndPr/>
        <w:sdtContent>
          <w:r w:rsidR="00C4032A" w:rsidRPr="00E83452">
            <w:rPr>
              <w:u w:val="single"/>
            </w:rPr>
            <w:t>Jana Schembera</w:t>
          </w:r>
        </w:sdtContent>
      </w:sdt>
      <w:bookmarkEnd w:id="1"/>
      <w:r w:rsidR="00676DA7" w:rsidRPr="00E83452">
        <w:rPr>
          <w:vertAlign w:val="superscript"/>
        </w:rPr>
        <w:t>1</w:t>
      </w:r>
      <w:r w:rsidR="002773DB">
        <w:t>,</w:t>
      </w:r>
      <w:r w:rsidR="00D228B4" w:rsidRPr="00E83452">
        <w:t xml:space="preserve"> Ricarda Leister</w:t>
      </w:r>
      <w:r w:rsidR="00D228B4" w:rsidRPr="00E83452">
        <w:rPr>
          <w:vertAlign w:val="superscript"/>
        </w:rPr>
        <w:t>2</w:t>
      </w:r>
      <w:r w:rsidR="004F03DD" w:rsidRPr="00E83452">
        <w:t xml:space="preserve"> </w:t>
      </w:r>
      <w:r w:rsidR="0030069B" w:rsidRPr="00E83452">
        <w:t>and Regina Scherließ</w:t>
      </w:r>
      <w:r w:rsidR="0030069B" w:rsidRPr="00E83452">
        <w:rPr>
          <w:vertAlign w:val="superscript"/>
        </w:rPr>
        <w:t>1</w:t>
      </w:r>
    </w:p>
    <w:p w14:paraId="47E0CE8C" w14:textId="77777777" w:rsidR="00C65A37" w:rsidRPr="00BD68AD" w:rsidRDefault="00676DA7" w:rsidP="00AD115D">
      <w:pPr>
        <w:pStyle w:val="DDLAddress1"/>
      </w:pPr>
      <w:r w:rsidRPr="00AD115D">
        <w:rPr>
          <w:vertAlign w:val="superscript"/>
        </w:rPr>
        <w:t>1</w:t>
      </w:r>
      <w:r w:rsidR="00C4032A">
        <w:t>Department of Pharmaceutics and Biopharmaceutics</w:t>
      </w:r>
      <w:r w:rsidRPr="00BD68AD">
        <w:t>,</w:t>
      </w:r>
      <w:r w:rsidR="00C4032A">
        <w:t xml:space="preserve"> Kiel University,</w:t>
      </w:r>
      <w:r w:rsidRPr="00BD68AD">
        <w:t xml:space="preserve"> </w:t>
      </w:r>
      <w:r w:rsidR="00C4032A">
        <w:t>Grasweg 9a</w:t>
      </w:r>
      <w:r w:rsidRPr="00BD68AD">
        <w:t xml:space="preserve">, </w:t>
      </w:r>
      <w:r w:rsidR="00C4032A">
        <w:t>Kiel</w:t>
      </w:r>
      <w:r w:rsidRPr="00BD68AD">
        <w:t xml:space="preserve">, </w:t>
      </w:r>
      <w:r w:rsidR="00C4032A">
        <w:t>24118</w:t>
      </w:r>
      <w:r w:rsidRPr="00BD68AD">
        <w:t xml:space="preserve">, </w:t>
      </w:r>
      <w:r w:rsidR="00C4032A">
        <w:t>Germany</w:t>
      </w:r>
    </w:p>
    <w:p w14:paraId="1660B9FD" w14:textId="77777777" w:rsidR="00676DA7" w:rsidRPr="00AD115D" w:rsidRDefault="00676DA7" w:rsidP="00AD115D">
      <w:pPr>
        <w:pStyle w:val="DDLAddress2"/>
        <w:rPr>
          <w:bCs/>
          <w:u w:val="single"/>
        </w:rPr>
      </w:pPr>
      <w:r w:rsidRPr="00AD115D">
        <w:rPr>
          <w:vertAlign w:val="superscript"/>
        </w:rPr>
        <w:t>2</w:t>
      </w:r>
      <w:r w:rsidR="00D228B4">
        <w:t>Meggle GmbH &amp; Co. KG</w:t>
      </w:r>
      <w:r w:rsidRPr="00BD68AD">
        <w:t>,</w:t>
      </w:r>
      <w:r w:rsidR="00D228B4">
        <w:t xml:space="preserve"> </w:t>
      </w:r>
      <w:proofErr w:type="spellStart"/>
      <w:r w:rsidR="000352A9">
        <w:t>Megglestr</w:t>
      </w:r>
      <w:proofErr w:type="spellEnd"/>
      <w:r w:rsidR="000352A9">
        <w:t>. 6-12</w:t>
      </w:r>
      <w:r w:rsidRPr="00BD68AD">
        <w:t xml:space="preserve">, </w:t>
      </w:r>
      <w:proofErr w:type="spellStart"/>
      <w:r w:rsidR="000352A9">
        <w:t>Wasserburg</w:t>
      </w:r>
      <w:proofErr w:type="spellEnd"/>
      <w:r w:rsidR="00D151A7">
        <w:t xml:space="preserve"> am Inn</w:t>
      </w:r>
      <w:r w:rsidRPr="00BD68AD">
        <w:t xml:space="preserve">, </w:t>
      </w:r>
      <w:r w:rsidR="000352A9">
        <w:t>83512</w:t>
      </w:r>
      <w:r w:rsidRPr="00BD68AD">
        <w:t xml:space="preserve">, </w:t>
      </w:r>
      <w:r w:rsidR="000352A9">
        <w:t>Germany</w:t>
      </w:r>
    </w:p>
    <w:p w14:paraId="17CBCC52" w14:textId="77777777" w:rsidR="00C65A37" w:rsidRPr="00932B28" w:rsidRDefault="00C65A37" w:rsidP="0016236A">
      <w:pPr>
        <w:pStyle w:val="DDLHeading1"/>
        <w:spacing w:after="0"/>
        <w:rPr>
          <w:sz w:val="20"/>
          <w:szCs w:val="20"/>
        </w:rPr>
      </w:pPr>
      <w:r w:rsidRPr="00932B28">
        <w:rPr>
          <w:sz w:val="20"/>
          <w:szCs w:val="20"/>
        </w:rPr>
        <w:t>Summary</w:t>
      </w:r>
    </w:p>
    <w:p w14:paraId="006A1C1E" w14:textId="45E0743E" w:rsidR="00B11EB5" w:rsidRPr="00932B28" w:rsidRDefault="003B5064" w:rsidP="00D156FE">
      <w:pPr>
        <w:pStyle w:val="DDLBodyText"/>
        <w:rPr>
          <w:sz w:val="20"/>
        </w:rPr>
      </w:pPr>
      <w:r>
        <w:rPr>
          <w:sz w:val="20"/>
        </w:rPr>
        <w:t>The</w:t>
      </w:r>
      <w:r w:rsidR="002773DB" w:rsidRPr="002773DB">
        <w:rPr>
          <w:sz w:val="20"/>
        </w:rPr>
        <w:t xml:space="preserve"> overall goal </w:t>
      </w:r>
      <w:r>
        <w:rPr>
          <w:sz w:val="20"/>
        </w:rPr>
        <w:t>of this project was</w:t>
      </w:r>
      <w:r w:rsidR="002773DB" w:rsidRPr="002773DB">
        <w:rPr>
          <w:sz w:val="20"/>
        </w:rPr>
        <w:t xml:space="preserve"> to produce</w:t>
      </w:r>
      <w:r w:rsidR="00467D22" w:rsidRPr="00932B28">
        <w:rPr>
          <w:sz w:val="20"/>
        </w:rPr>
        <w:t xml:space="preserve"> an inhalable dry powder platform for mRNA vaccination. In order to achieve this goal mRNA-lipoplexes comprising mRNA and </w:t>
      </w:r>
      <w:proofErr w:type="gramStart"/>
      <w:r w:rsidR="00467D22" w:rsidRPr="00932B28">
        <w:rPr>
          <w:sz w:val="20"/>
        </w:rPr>
        <w:t>DOTAP:DOPE</w:t>
      </w:r>
      <w:proofErr w:type="gramEnd"/>
      <w:r w:rsidR="00467D22" w:rsidRPr="00932B28">
        <w:rPr>
          <w:sz w:val="20"/>
        </w:rPr>
        <w:t xml:space="preserve"> </w:t>
      </w:r>
      <w:r w:rsidR="0030069B">
        <w:rPr>
          <w:sz w:val="20"/>
        </w:rPr>
        <w:t>were developed, which shall be transferred to inhalable dry particles by spray drying</w:t>
      </w:r>
      <w:r w:rsidR="00570612">
        <w:rPr>
          <w:sz w:val="20"/>
        </w:rPr>
        <w:t>.</w:t>
      </w:r>
      <w:r w:rsidR="00AB6121" w:rsidRPr="00932B28">
        <w:rPr>
          <w:sz w:val="20"/>
        </w:rPr>
        <w:t xml:space="preserve"> </w:t>
      </w:r>
      <w:r w:rsidR="00E209D7">
        <w:rPr>
          <w:sz w:val="20"/>
        </w:rPr>
        <w:t>Compatibility experiments with mRNA</w:t>
      </w:r>
      <w:r w:rsidR="007A5B67">
        <w:rPr>
          <w:sz w:val="20"/>
        </w:rPr>
        <w:t>-</w:t>
      </w:r>
      <w:r w:rsidR="00E209D7">
        <w:rPr>
          <w:sz w:val="20"/>
        </w:rPr>
        <w:t xml:space="preserve">lipoplexes </w:t>
      </w:r>
      <w:r>
        <w:rPr>
          <w:sz w:val="20"/>
        </w:rPr>
        <w:t>have</w:t>
      </w:r>
      <w:r w:rsidR="00E209D7">
        <w:rPr>
          <w:sz w:val="20"/>
        </w:rPr>
        <w:t xml:space="preserve"> shown that mannitol or lactose could be suitable excipients with </w:t>
      </w:r>
      <w:r>
        <w:rPr>
          <w:sz w:val="20"/>
        </w:rPr>
        <w:t xml:space="preserve">established </w:t>
      </w:r>
      <w:r w:rsidR="00E209D7">
        <w:rPr>
          <w:sz w:val="20"/>
        </w:rPr>
        <w:t xml:space="preserve">use in inhalation. </w:t>
      </w:r>
      <w:r w:rsidR="00AB6121" w:rsidRPr="00932B28">
        <w:rPr>
          <w:sz w:val="20"/>
        </w:rPr>
        <w:t xml:space="preserve">However, the first </w:t>
      </w:r>
      <w:r w:rsidR="00E209D7">
        <w:rPr>
          <w:sz w:val="20"/>
        </w:rPr>
        <w:t xml:space="preserve">spray drying </w:t>
      </w:r>
      <w:r w:rsidR="00912E3B" w:rsidRPr="00932B28">
        <w:rPr>
          <w:sz w:val="20"/>
        </w:rPr>
        <w:t>experiments</w:t>
      </w:r>
      <w:r w:rsidR="00912E3B">
        <w:rPr>
          <w:sz w:val="20"/>
        </w:rPr>
        <w:t xml:space="preserve"> revealed decreased transfection capabilities of the processed mRNA-lipoplexes</w:t>
      </w:r>
      <w:r w:rsidR="004A462F">
        <w:rPr>
          <w:sz w:val="20"/>
        </w:rPr>
        <w:t xml:space="preserve"> compared</w:t>
      </w:r>
      <w:r w:rsidR="00EF6AB3">
        <w:rPr>
          <w:sz w:val="20"/>
        </w:rPr>
        <w:t xml:space="preserve"> to the</w:t>
      </w:r>
      <w:r w:rsidR="004A462F">
        <w:rPr>
          <w:sz w:val="20"/>
        </w:rPr>
        <w:t xml:space="preserve"> </w:t>
      </w:r>
      <w:r w:rsidR="009E0283">
        <w:rPr>
          <w:sz w:val="20"/>
        </w:rPr>
        <w:t>control.</w:t>
      </w:r>
      <w:r w:rsidR="00AB6121" w:rsidRPr="00932B28">
        <w:rPr>
          <w:sz w:val="20"/>
        </w:rPr>
        <w:t xml:space="preserve"> Thus, </w:t>
      </w:r>
      <w:r w:rsidR="00532632">
        <w:rPr>
          <w:sz w:val="20"/>
        </w:rPr>
        <w:t>we focused on</w:t>
      </w:r>
      <w:r w:rsidR="002F5DAD" w:rsidRPr="00932B28">
        <w:rPr>
          <w:sz w:val="20"/>
        </w:rPr>
        <w:t xml:space="preserve"> the spraying process</w:t>
      </w:r>
      <w:r w:rsidR="00532632">
        <w:rPr>
          <w:sz w:val="20"/>
        </w:rPr>
        <w:t xml:space="preserve"> itself</w:t>
      </w:r>
      <w:r w:rsidR="00E209D7">
        <w:rPr>
          <w:sz w:val="20"/>
        </w:rPr>
        <w:t xml:space="preserve"> to assess the influence of each </w:t>
      </w:r>
      <w:r w:rsidR="00532632">
        <w:rPr>
          <w:sz w:val="20"/>
        </w:rPr>
        <w:t xml:space="preserve">individual </w:t>
      </w:r>
      <w:r w:rsidR="00E209D7">
        <w:rPr>
          <w:sz w:val="20"/>
        </w:rPr>
        <w:t>step:</w:t>
      </w:r>
      <w:r w:rsidR="002F5DAD" w:rsidRPr="00932B28">
        <w:rPr>
          <w:sz w:val="20"/>
        </w:rPr>
        <w:t xml:space="preserve"> the </w:t>
      </w:r>
      <w:r w:rsidR="00E209D7">
        <w:rPr>
          <w:sz w:val="20"/>
        </w:rPr>
        <w:t xml:space="preserve">pumping of feed liquid through the </w:t>
      </w:r>
      <w:r w:rsidR="002F5DAD" w:rsidRPr="00932B28">
        <w:rPr>
          <w:sz w:val="20"/>
        </w:rPr>
        <w:t xml:space="preserve">tube, </w:t>
      </w:r>
      <w:r w:rsidR="00E209D7">
        <w:rPr>
          <w:sz w:val="20"/>
        </w:rPr>
        <w:t>the atomisation and the drying itself</w:t>
      </w:r>
      <w:r w:rsidR="0066450A">
        <w:rPr>
          <w:sz w:val="20"/>
        </w:rPr>
        <w:t>.</w:t>
      </w:r>
      <w:r w:rsidR="002F5DAD" w:rsidRPr="00932B28">
        <w:rPr>
          <w:sz w:val="20"/>
        </w:rPr>
        <w:t xml:space="preserve"> </w:t>
      </w:r>
      <w:r w:rsidR="00E209D7">
        <w:rPr>
          <w:sz w:val="20"/>
        </w:rPr>
        <w:t xml:space="preserve">The tube was identified as </w:t>
      </w:r>
      <w:r w:rsidR="00E83452">
        <w:rPr>
          <w:sz w:val="20"/>
        </w:rPr>
        <w:t xml:space="preserve">a </w:t>
      </w:r>
      <w:r w:rsidR="00E209D7">
        <w:rPr>
          <w:sz w:val="20"/>
        </w:rPr>
        <w:t>major obstacle as the lipoplexes adsorbed to the tubing</w:t>
      </w:r>
      <w:r w:rsidR="00912E3B">
        <w:rPr>
          <w:sz w:val="20"/>
        </w:rPr>
        <w:t>, resulting in loss-of-function of the mRNA-lipoplexes</w:t>
      </w:r>
      <w:r w:rsidR="004A462F">
        <w:rPr>
          <w:sz w:val="20"/>
        </w:rPr>
        <w:t xml:space="preserve">. Comparative studies identified materials suitable for </w:t>
      </w:r>
      <w:r w:rsidR="00EF6AB3">
        <w:rPr>
          <w:sz w:val="20"/>
        </w:rPr>
        <w:t xml:space="preserve">the </w:t>
      </w:r>
      <w:r w:rsidR="004A462F">
        <w:rPr>
          <w:sz w:val="20"/>
        </w:rPr>
        <w:t>processing of DOTAP:DOPE mRNA</w:t>
      </w:r>
      <w:r w:rsidR="007A5B67">
        <w:rPr>
          <w:sz w:val="20"/>
        </w:rPr>
        <w:t>-</w:t>
      </w:r>
      <w:r w:rsidR="004A462F">
        <w:rPr>
          <w:sz w:val="20"/>
        </w:rPr>
        <w:t>lipoplexes.</w:t>
      </w:r>
    </w:p>
    <w:p w14:paraId="01C55277" w14:textId="77777777" w:rsidR="00E14DBF" w:rsidRPr="00932B28" w:rsidRDefault="00E14DBF" w:rsidP="0016236A">
      <w:pPr>
        <w:pStyle w:val="DDLBodyText"/>
        <w:spacing w:after="0"/>
        <w:rPr>
          <w:b/>
          <w:sz w:val="20"/>
        </w:rPr>
      </w:pPr>
      <w:r w:rsidRPr="00932B28">
        <w:rPr>
          <w:b/>
          <w:sz w:val="20"/>
        </w:rPr>
        <w:t>Key Message</w:t>
      </w:r>
    </w:p>
    <w:p w14:paraId="09F94F1D" w14:textId="6695241C" w:rsidR="00E14DBF" w:rsidRPr="00932B28" w:rsidRDefault="004A462F" w:rsidP="00E14DBF">
      <w:pPr>
        <w:pStyle w:val="DDLBodyText"/>
        <w:rPr>
          <w:rStyle w:val="Strong"/>
          <w:rFonts w:cs="Arial"/>
          <w:b w:val="0"/>
          <w:color w:val="333333"/>
          <w:sz w:val="20"/>
          <w:shd w:val="clear" w:color="auto" w:fill="FFFFFF"/>
        </w:rPr>
      </w:pPr>
      <w:r>
        <w:rPr>
          <w:rStyle w:val="Strong"/>
          <w:rFonts w:cs="Arial"/>
          <w:b w:val="0"/>
          <w:sz w:val="20"/>
          <w:shd w:val="clear" w:color="auto" w:fill="FFFFFF"/>
        </w:rPr>
        <w:t xml:space="preserve">Liquid handling of </w:t>
      </w:r>
      <w:r w:rsidR="007B5EA3">
        <w:rPr>
          <w:rStyle w:val="Strong"/>
          <w:rFonts w:cs="Arial"/>
          <w:b w:val="0"/>
          <w:sz w:val="20"/>
          <w:shd w:val="clear" w:color="auto" w:fill="FFFFFF"/>
        </w:rPr>
        <w:t>mRNA-lipoplex</w:t>
      </w:r>
      <w:r>
        <w:rPr>
          <w:rStyle w:val="Strong"/>
          <w:rFonts w:cs="Arial"/>
          <w:b w:val="0"/>
          <w:sz w:val="20"/>
          <w:shd w:val="clear" w:color="auto" w:fill="FFFFFF"/>
        </w:rPr>
        <w:t xml:space="preserve"> formulations</w:t>
      </w:r>
      <w:r w:rsidR="007B5EA3">
        <w:rPr>
          <w:rStyle w:val="Strong"/>
          <w:rFonts w:cs="Arial"/>
          <w:b w:val="0"/>
          <w:sz w:val="20"/>
          <w:shd w:val="clear" w:color="auto" w:fill="FFFFFF"/>
        </w:rPr>
        <w:t xml:space="preserve"> is not as </w:t>
      </w:r>
      <w:r>
        <w:rPr>
          <w:rStyle w:val="Strong"/>
          <w:rFonts w:cs="Arial"/>
          <w:b w:val="0"/>
          <w:sz w:val="20"/>
          <w:shd w:val="clear" w:color="auto" w:fill="FFFFFF"/>
        </w:rPr>
        <w:t>mundane</w:t>
      </w:r>
      <w:r w:rsidR="007B5EA3">
        <w:rPr>
          <w:rStyle w:val="Strong"/>
          <w:rFonts w:cs="Arial"/>
          <w:b w:val="0"/>
          <w:sz w:val="20"/>
          <w:shd w:val="clear" w:color="auto" w:fill="FFFFFF"/>
        </w:rPr>
        <w:t xml:space="preserve"> as it seems. Commonly used silicone tubes are not suitable</w:t>
      </w:r>
      <w:r w:rsidR="00E209D7">
        <w:rPr>
          <w:rStyle w:val="Strong"/>
          <w:rFonts w:cs="Arial"/>
          <w:b w:val="0"/>
          <w:sz w:val="20"/>
          <w:shd w:val="clear" w:color="auto" w:fill="FFFFFF"/>
        </w:rPr>
        <w:t xml:space="preserve"> as lipoplexes adsorb to the inner surface</w:t>
      </w:r>
      <w:r w:rsidR="007B5EA3">
        <w:rPr>
          <w:rStyle w:val="Strong"/>
          <w:rFonts w:cs="Arial"/>
          <w:b w:val="0"/>
          <w:sz w:val="20"/>
          <w:shd w:val="clear" w:color="auto" w:fill="FFFFFF"/>
        </w:rPr>
        <w:t xml:space="preserve">. </w:t>
      </w:r>
      <w:r w:rsidR="00E2779F">
        <w:rPr>
          <w:rStyle w:val="Strong"/>
          <w:rFonts w:cs="Arial"/>
          <w:b w:val="0"/>
          <w:sz w:val="20"/>
          <w:shd w:val="clear" w:color="auto" w:fill="FFFFFF"/>
        </w:rPr>
        <w:t xml:space="preserve">In this study, </w:t>
      </w:r>
      <w:r w:rsidR="007B5EA3">
        <w:rPr>
          <w:rStyle w:val="Strong"/>
          <w:rFonts w:cs="Arial"/>
          <w:b w:val="0"/>
          <w:sz w:val="20"/>
          <w:shd w:val="clear" w:color="auto" w:fill="FFFFFF"/>
        </w:rPr>
        <w:t xml:space="preserve">the </w:t>
      </w:r>
      <w:proofErr w:type="spellStart"/>
      <w:r w:rsidR="007B5EA3">
        <w:rPr>
          <w:sz w:val="20"/>
        </w:rPr>
        <w:t>Tyg</w:t>
      </w:r>
      <w:r w:rsidR="00E2779F">
        <w:rPr>
          <w:sz w:val="20"/>
        </w:rPr>
        <w:t>on</w:t>
      </w:r>
      <w:proofErr w:type="spellEnd"/>
      <w:r w:rsidR="00E2779F">
        <w:rPr>
          <w:sz w:val="20"/>
        </w:rPr>
        <w:t>® 2375 NSF-51 tube showed the lowest impact on</w:t>
      </w:r>
      <w:r w:rsidR="00EF6AB3">
        <w:rPr>
          <w:sz w:val="20"/>
        </w:rPr>
        <w:t xml:space="preserve"> the</w:t>
      </w:r>
      <w:r w:rsidR="00E2779F">
        <w:rPr>
          <w:sz w:val="20"/>
        </w:rPr>
        <w:t xml:space="preserve"> transfection efficiency of mRNA-lipoplexes.</w:t>
      </w:r>
    </w:p>
    <w:p w14:paraId="3C5CCD22" w14:textId="77777777" w:rsidR="00C65A37" w:rsidRPr="00932B28" w:rsidRDefault="00C65A37" w:rsidP="009204DA">
      <w:pPr>
        <w:pStyle w:val="DDLHeading1"/>
        <w:spacing w:before="0" w:after="0"/>
        <w:rPr>
          <w:sz w:val="20"/>
          <w:szCs w:val="20"/>
        </w:rPr>
      </w:pPr>
      <w:r w:rsidRPr="00932B28">
        <w:rPr>
          <w:sz w:val="20"/>
          <w:szCs w:val="20"/>
        </w:rPr>
        <w:t>Introduction</w:t>
      </w:r>
    </w:p>
    <w:p w14:paraId="4F366864" w14:textId="59525BDB" w:rsidR="00680144" w:rsidRPr="00932B28" w:rsidRDefault="00680144" w:rsidP="0016236A">
      <w:pPr>
        <w:pStyle w:val="DDLBodyText"/>
        <w:spacing w:after="0"/>
        <w:rPr>
          <w:sz w:val="20"/>
        </w:rPr>
      </w:pPr>
      <w:r w:rsidRPr="00932B28">
        <w:rPr>
          <w:sz w:val="20"/>
        </w:rPr>
        <w:t>Many viral infections enter the body through the respiratory tract. Thus</w:t>
      </w:r>
      <w:r w:rsidR="00D25DCB" w:rsidRPr="00932B28">
        <w:rPr>
          <w:sz w:val="20"/>
        </w:rPr>
        <w:t>,</w:t>
      </w:r>
      <w:r w:rsidRPr="00932B28">
        <w:rPr>
          <w:sz w:val="20"/>
        </w:rPr>
        <w:t xml:space="preserve"> the lungs and the mucosal immune system </w:t>
      </w:r>
      <w:r w:rsidR="00564EBF">
        <w:rPr>
          <w:sz w:val="20"/>
        </w:rPr>
        <w:t>are</w:t>
      </w:r>
      <w:r w:rsidR="00D25DCB" w:rsidRPr="00932B28">
        <w:rPr>
          <w:sz w:val="20"/>
        </w:rPr>
        <w:t xml:space="preserve"> the perfect </w:t>
      </w:r>
      <w:r w:rsidR="00E83452">
        <w:rPr>
          <w:sz w:val="20"/>
        </w:rPr>
        <w:t>targets</w:t>
      </w:r>
      <w:r w:rsidR="00D25DCB" w:rsidRPr="00932B28">
        <w:rPr>
          <w:sz w:val="20"/>
        </w:rPr>
        <w:t xml:space="preserve"> for vaccines against those viruses. </w:t>
      </w:r>
      <w:r w:rsidR="008131A8" w:rsidRPr="00932B28">
        <w:rPr>
          <w:sz w:val="20"/>
        </w:rPr>
        <w:t>In addition, a</w:t>
      </w:r>
      <w:r w:rsidR="00D25DCB" w:rsidRPr="00932B28">
        <w:rPr>
          <w:sz w:val="20"/>
        </w:rPr>
        <w:t>n inhalable vaccine formulation does</w:t>
      </w:r>
      <w:r w:rsidR="007A5E50">
        <w:rPr>
          <w:sz w:val="20"/>
        </w:rPr>
        <w:t xml:space="preserve"> </w:t>
      </w:r>
      <w:r w:rsidR="00564EBF">
        <w:rPr>
          <w:sz w:val="20"/>
        </w:rPr>
        <w:t>not</w:t>
      </w:r>
      <w:r w:rsidR="00D25DCB" w:rsidRPr="00932B28">
        <w:rPr>
          <w:sz w:val="20"/>
        </w:rPr>
        <w:t xml:space="preserve"> </w:t>
      </w:r>
      <w:r w:rsidR="00564EBF">
        <w:rPr>
          <w:sz w:val="20"/>
        </w:rPr>
        <w:t xml:space="preserve">require </w:t>
      </w:r>
      <w:r w:rsidR="00E83452">
        <w:rPr>
          <w:sz w:val="20"/>
        </w:rPr>
        <w:t xml:space="preserve">an </w:t>
      </w:r>
      <w:r w:rsidR="00564EBF">
        <w:rPr>
          <w:sz w:val="20"/>
        </w:rPr>
        <w:t>invasive application</w:t>
      </w:r>
      <w:r w:rsidR="00D25DCB" w:rsidRPr="00932B28">
        <w:rPr>
          <w:sz w:val="20"/>
        </w:rPr>
        <w:t>. This</w:t>
      </w:r>
      <w:r w:rsidR="00B06A97" w:rsidRPr="00932B28">
        <w:rPr>
          <w:sz w:val="20"/>
        </w:rPr>
        <w:t xml:space="preserve"> is </w:t>
      </w:r>
      <w:r w:rsidR="0089147A" w:rsidRPr="00932B28">
        <w:rPr>
          <w:sz w:val="20"/>
        </w:rPr>
        <w:t>a</w:t>
      </w:r>
      <w:r w:rsidR="00B06A97" w:rsidRPr="00932B28">
        <w:rPr>
          <w:sz w:val="20"/>
        </w:rPr>
        <w:t xml:space="preserve"> huge advantage because a specially trained person for reconstitution and intramuscular injection is not necessary and risks of infection because of </w:t>
      </w:r>
      <w:r w:rsidR="00403420" w:rsidRPr="00932B28">
        <w:rPr>
          <w:sz w:val="20"/>
        </w:rPr>
        <w:t xml:space="preserve">an infected </w:t>
      </w:r>
      <w:r w:rsidR="00F23B55" w:rsidRPr="00932B28">
        <w:rPr>
          <w:sz w:val="20"/>
        </w:rPr>
        <w:t xml:space="preserve">needle </w:t>
      </w:r>
      <w:r w:rsidR="00AF2EC7">
        <w:rPr>
          <w:sz w:val="20"/>
        </w:rPr>
        <w:t>are</w:t>
      </w:r>
      <w:r w:rsidR="00AF2EC7" w:rsidRPr="00932B28">
        <w:rPr>
          <w:sz w:val="20"/>
        </w:rPr>
        <w:t xml:space="preserve"> </w:t>
      </w:r>
      <w:r w:rsidR="00F23B55" w:rsidRPr="00932B28">
        <w:rPr>
          <w:sz w:val="20"/>
        </w:rPr>
        <w:t xml:space="preserve">not </w:t>
      </w:r>
      <w:r w:rsidR="00F23B55" w:rsidRPr="00F87DA5">
        <w:rPr>
          <w:sz w:val="20"/>
        </w:rPr>
        <w:t xml:space="preserve">existent </w:t>
      </w:r>
      <w:r w:rsidR="00F87DA5" w:rsidRPr="00F87DA5">
        <w:rPr>
          <w:rStyle w:val="DDLReferenceSuperscript"/>
          <w:sz w:val="20"/>
          <w:vertAlign w:val="baseline"/>
        </w:rPr>
        <w:t>[</w:t>
      </w:r>
      <w:r w:rsidR="00F87DA5" w:rsidRPr="00F87DA5">
        <w:rPr>
          <w:rStyle w:val="DDLReferenceSuperscript"/>
          <w:sz w:val="20"/>
          <w:vertAlign w:val="baseline"/>
        </w:rPr>
        <w:endnoteReference w:id="1"/>
      </w:r>
      <w:r w:rsidR="00F87DA5" w:rsidRPr="00F87DA5">
        <w:rPr>
          <w:rStyle w:val="DDLReferenceSuperscript"/>
          <w:sz w:val="20"/>
          <w:vertAlign w:val="baseline"/>
        </w:rPr>
        <w:t>].</w:t>
      </w:r>
      <w:r w:rsidR="00F87DA5">
        <w:rPr>
          <w:rStyle w:val="DDLReferenceSuperscript"/>
          <w:vertAlign w:val="baseline"/>
        </w:rPr>
        <w:t xml:space="preserve"> </w:t>
      </w:r>
      <w:r w:rsidR="00403420" w:rsidRPr="00932B28">
        <w:rPr>
          <w:sz w:val="20"/>
        </w:rPr>
        <w:t xml:space="preserve">Not only the use of an inhaler </w:t>
      </w:r>
      <w:r w:rsidR="00F23B55" w:rsidRPr="00932B28">
        <w:rPr>
          <w:sz w:val="20"/>
        </w:rPr>
        <w:t xml:space="preserve">instead of a needle </w:t>
      </w:r>
      <w:r w:rsidR="00403420" w:rsidRPr="00932B28">
        <w:rPr>
          <w:sz w:val="20"/>
        </w:rPr>
        <w:t xml:space="preserve">would increase the </w:t>
      </w:r>
      <w:r w:rsidR="00E37C6D">
        <w:rPr>
          <w:sz w:val="20"/>
        </w:rPr>
        <w:t>accessibility</w:t>
      </w:r>
      <w:r w:rsidR="00E37C6D" w:rsidRPr="00932B28">
        <w:rPr>
          <w:sz w:val="20"/>
        </w:rPr>
        <w:t xml:space="preserve"> </w:t>
      </w:r>
      <w:r w:rsidR="00E37C6D">
        <w:rPr>
          <w:sz w:val="20"/>
        </w:rPr>
        <w:t>for</w:t>
      </w:r>
      <w:r w:rsidR="00403420" w:rsidRPr="00932B28">
        <w:rPr>
          <w:sz w:val="20"/>
        </w:rPr>
        <w:t xml:space="preserve"> people living in areas where physician</w:t>
      </w:r>
      <w:r w:rsidR="007A5E50">
        <w:rPr>
          <w:sz w:val="20"/>
        </w:rPr>
        <w:t>s</w:t>
      </w:r>
      <w:r w:rsidR="00403420" w:rsidRPr="00932B28">
        <w:rPr>
          <w:sz w:val="20"/>
        </w:rPr>
        <w:t xml:space="preserve"> </w:t>
      </w:r>
      <w:r w:rsidR="007A5E50">
        <w:rPr>
          <w:sz w:val="20"/>
        </w:rPr>
        <w:t>or</w:t>
      </w:r>
      <w:r w:rsidR="00403420" w:rsidRPr="00932B28">
        <w:rPr>
          <w:sz w:val="20"/>
        </w:rPr>
        <w:t xml:space="preserve"> skilled </w:t>
      </w:r>
      <w:r w:rsidR="007A5E50" w:rsidRPr="00932B28">
        <w:rPr>
          <w:sz w:val="20"/>
        </w:rPr>
        <w:t>personnel</w:t>
      </w:r>
      <w:r w:rsidR="00403420" w:rsidRPr="00932B28">
        <w:rPr>
          <w:sz w:val="20"/>
        </w:rPr>
        <w:t xml:space="preserve"> </w:t>
      </w:r>
      <w:r w:rsidR="00E37C6D">
        <w:rPr>
          <w:sz w:val="20"/>
        </w:rPr>
        <w:t>are</w:t>
      </w:r>
      <w:r w:rsidR="00E37C6D" w:rsidRPr="00932B28">
        <w:rPr>
          <w:sz w:val="20"/>
        </w:rPr>
        <w:t xml:space="preserve"> </w:t>
      </w:r>
      <w:r w:rsidR="00403420" w:rsidRPr="00932B28">
        <w:rPr>
          <w:sz w:val="20"/>
        </w:rPr>
        <w:t xml:space="preserve">hard to find, but also a </w:t>
      </w:r>
      <w:r w:rsidR="00E83452">
        <w:rPr>
          <w:sz w:val="20"/>
        </w:rPr>
        <w:t>solid state</w:t>
      </w:r>
      <w:r w:rsidR="00403420" w:rsidRPr="00932B28">
        <w:rPr>
          <w:sz w:val="20"/>
        </w:rPr>
        <w:t xml:space="preserve"> of the vaccine formulation would be advantageous. </w:t>
      </w:r>
      <w:r w:rsidR="00F23B55" w:rsidRPr="00932B28">
        <w:rPr>
          <w:sz w:val="20"/>
        </w:rPr>
        <w:t xml:space="preserve">Liquid vaccines face the risk of chemical </w:t>
      </w:r>
      <w:r w:rsidR="00122A1D">
        <w:rPr>
          <w:sz w:val="20"/>
        </w:rPr>
        <w:t xml:space="preserve">degradation </w:t>
      </w:r>
      <w:r w:rsidR="00F23B55" w:rsidRPr="00932B28">
        <w:rPr>
          <w:sz w:val="20"/>
        </w:rPr>
        <w:t xml:space="preserve">and physical </w:t>
      </w:r>
      <w:r w:rsidR="00F23B55" w:rsidRPr="00F87DA5">
        <w:rPr>
          <w:sz w:val="20"/>
        </w:rPr>
        <w:t>instability</w:t>
      </w:r>
      <w:r w:rsidR="00F87DA5" w:rsidRPr="00F87DA5">
        <w:rPr>
          <w:sz w:val="20"/>
        </w:rPr>
        <w:t xml:space="preserve"> </w:t>
      </w:r>
      <w:r w:rsidR="00F87DA5" w:rsidRPr="00F87DA5">
        <w:rPr>
          <w:rStyle w:val="DDLReferenceSuperscript"/>
          <w:sz w:val="20"/>
          <w:vertAlign w:val="baseline"/>
        </w:rPr>
        <w:t>[</w:t>
      </w:r>
      <w:r w:rsidR="00F87DA5" w:rsidRPr="00F87DA5">
        <w:rPr>
          <w:rStyle w:val="DDLReferenceSuperscript"/>
          <w:sz w:val="20"/>
          <w:vertAlign w:val="baseline"/>
        </w:rPr>
        <w:endnoteReference w:id="2"/>
      </w:r>
      <w:r w:rsidR="00F87DA5" w:rsidRPr="00F87DA5">
        <w:rPr>
          <w:rStyle w:val="DDLReferenceSuperscript"/>
          <w:sz w:val="20"/>
          <w:vertAlign w:val="baseline"/>
        </w:rPr>
        <w:t>]</w:t>
      </w:r>
      <w:r w:rsidR="00F23B55" w:rsidRPr="00F87DA5">
        <w:rPr>
          <w:sz w:val="20"/>
        </w:rPr>
        <w:t xml:space="preserve"> and</w:t>
      </w:r>
      <w:r w:rsidR="00F23B55" w:rsidRPr="00932B28">
        <w:rPr>
          <w:sz w:val="20"/>
        </w:rPr>
        <w:t xml:space="preserve"> therefore </w:t>
      </w:r>
      <w:r w:rsidR="00AF2EC7">
        <w:rPr>
          <w:sz w:val="20"/>
        </w:rPr>
        <w:t>typically</w:t>
      </w:r>
      <w:r w:rsidR="00122A1D">
        <w:rPr>
          <w:sz w:val="20"/>
        </w:rPr>
        <w:t xml:space="preserve"> require cold chain maintenance.</w:t>
      </w:r>
      <w:r w:rsidR="00AF2EC7">
        <w:rPr>
          <w:sz w:val="20"/>
        </w:rPr>
        <w:t xml:space="preserve"> </w:t>
      </w:r>
      <w:r w:rsidR="00B25D1B" w:rsidRPr="00932B28">
        <w:rPr>
          <w:sz w:val="20"/>
        </w:rPr>
        <w:t>This project aims to develop an inhalable dry powder platform which do</w:t>
      </w:r>
      <w:r w:rsidR="00F23B55" w:rsidRPr="00932B28">
        <w:rPr>
          <w:sz w:val="20"/>
        </w:rPr>
        <w:t>es not</w:t>
      </w:r>
      <w:r w:rsidR="00B25D1B" w:rsidRPr="00932B28">
        <w:rPr>
          <w:sz w:val="20"/>
        </w:rPr>
        <w:t xml:space="preserve"> </w:t>
      </w:r>
      <w:r w:rsidR="009F3420">
        <w:rPr>
          <w:sz w:val="20"/>
        </w:rPr>
        <w:t>require</w:t>
      </w:r>
      <w:r w:rsidR="009F3420" w:rsidRPr="00932B28">
        <w:rPr>
          <w:sz w:val="20"/>
        </w:rPr>
        <w:t xml:space="preserve"> </w:t>
      </w:r>
      <w:r w:rsidR="00B25D1B" w:rsidRPr="00932B28">
        <w:rPr>
          <w:sz w:val="20"/>
        </w:rPr>
        <w:t>challenging storage conditions.</w:t>
      </w:r>
    </w:p>
    <w:p w14:paraId="754F994B" w14:textId="5ACD474B" w:rsidR="00A938EF" w:rsidRDefault="00C907FD" w:rsidP="0016236A">
      <w:pPr>
        <w:pStyle w:val="DDLBodyText"/>
        <w:spacing w:after="0"/>
        <w:rPr>
          <w:sz w:val="20"/>
        </w:rPr>
      </w:pPr>
      <w:r w:rsidRPr="00932B28">
        <w:rPr>
          <w:sz w:val="20"/>
        </w:rPr>
        <w:t xml:space="preserve">During the COVID-19 </w:t>
      </w:r>
      <w:r w:rsidR="005F0641" w:rsidRPr="00932B28">
        <w:rPr>
          <w:sz w:val="20"/>
        </w:rPr>
        <w:t>pandemic,</w:t>
      </w:r>
      <w:r w:rsidRPr="00932B28">
        <w:rPr>
          <w:sz w:val="20"/>
        </w:rPr>
        <w:t xml:space="preserve"> </w:t>
      </w:r>
      <w:r w:rsidR="009E3447" w:rsidRPr="00932B28">
        <w:rPr>
          <w:sz w:val="20"/>
        </w:rPr>
        <w:t>a new generation of vaccine</w:t>
      </w:r>
      <w:r w:rsidR="007E3087">
        <w:rPr>
          <w:sz w:val="20"/>
        </w:rPr>
        <w:t>s</w:t>
      </w:r>
      <w:r w:rsidR="009E3447" w:rsidRPr="00932B28">
        <w:rPr>
          <w:sz w:val="20"/>
        </w:rPr>
        <w:t xml:space="preserve"> </w:t>
      </w:r>
      <w:r w:rsidR="005F0641" w:rsidRPr="00932B28">
        <w:rPr>
          <w:sz w:val="20"/>
        </w:rPr>
        <w:t>arose from the labs</w:t>
      </w:r>
      <w:r w:rsidR="009E3447" w:rsidRPr="00932B28">
        <w:rPr>
          <w:sz w:val="20"/>
        </w:rPr>
        <w:t xml:space="preserve">: the </w:t>
      </w:r>
      <w:r w:rsidR="00E83452">
        <w:rPr>
          <w:sz w:val="20"/>
        </w:rPr>
        <w:t>mRNA vaccines</w:t>
      </w:r>
      <w:r w:rsidR="009E3447" w:rsidRPr="00932B28">
        <w:rPr>
          <w:sz w:val="20"/>
        </w:rPr>
        <w:t xml:space="preserve">. </w:t>
      </w:r>
      <w:r w:rsidR="005F0641" w:rsidRPr="00932B28">
        <w:rPr>
          <w:sz w:val="20"/>
        </w:rPr>
        <w:t xml:space="preserve">Due to their benefits in </w:t>
      </w:r>
      <w:r w:rsidR="00B749CA" w:rsidRPr="00932B28">
        <w:rPr>
          <w:sz w:val="20"/>
        </w:rPr>
        <w:t xml:space="preserve">production, which has the potential to be rapid, </w:t>
      </w:r>
      <w:r w:rsidR="00932B28" w:rsidRPr="00932B28">
        <w:rPr>
          <w:sz w:val="20"/>
        </w:rPr>
        <w:t>inexpensive</w:t>
      </w:r>
      <w:r w:rsidR="00B749CA" w:rsidRPr="00932B28">
        <w:rPr>
          <w:sz w:val="20"/>
        </w:rPr>
        <w:t xml:space="preserve"> and </w:t>
      </w:r>
      <w:r w:rsidR="007E3087">
        <w:rPr>
          <w:sz w:val="20"/>
        </w:rPr>
        <w:t xml:space="preserve">readily </w:t>
      </w:r>
      <w:r w:rsidR="00B749CA" w:rsidRPr="00932B28">
        <w:rPr>
          <w:sz w:val="20"/>
        </w:rPr>
        <w:t xml:space="preserve">scalable, </w:t>
      </w:r>
      <w:r w:rsidR="007E3087">
        <w:rPr>
          <w:sz w:val="20"/>
        </w:rPr>
        <w:t>as well as</w:t>
      </w:r>
      <w:r w:rsidR="007E3087" w:rsidRPr="00932B28">
        <w:rPr>
          <w:sz w:val="20"/>
        </w:rPr>
        <w:t xml:space="preserve"> </w:t>
      </w:r>
      <w:r w:rsidR="005F0641" w:rsidRPr="00932B28">
        <w:rPr>
          <w:sz w:val="20"/>
        </w:rPr>
        <w:t>safety</w:t>
      </w:r>
      <w:r w:rsidR="007E3087">
        <w:rPr>
          <w:sz w:val="20"/>
        </w:rPr>
        <w:t xml:space="preserve"> issues</w:t>
      </w:r>
      <w:r w:rsidR="005F0641" w:rsidRPr="00932B28">
        <w:rPr>
          <w:sz w:val="20"/>
        </w:rPr>
        <w:t>, as it comes with no risks of infection</w:t>
      </w:r>
      <w:r w:rsidR="007A5E50">
        <w:rPr>
          <w:sz w:val="20"/>
        </w:rPr>
        <w:t xml:space="preserve"> </w:t>
      </w:r>
      <w:r w:rsidR="005F0641" w:rsidRPr="00932B28">
        <w:rPr>
          <w:sz w:val="20"/>
        </w:rPr>
        <w:t>or insertional mutagenesis</w:t>
      </w:r>
      <w:r w:rsidR="007A5E50">
        <w:rPr>
          <w:sz w:val="20"/>
        </w:rPr>
        <w:t>,</w:t>
      </w:r>
      <w:r w:rsidR="00B749CA" w:rsidRPr="00932B28">
        <w:rPr>
          <w:sz w:val="20"/>
        </w:rPr>
        <w:t xml:space="preserve"> mRNA vaccines won the </w:t>
      </w:r>
      <w:r w:rsidR="00B749CA" w:rsidRPr="00DE1739">
        <w:rPr>
          <w:sz w:val="20"/>
        </w:rPr>
        <w:t>race</w:t>
      </w:r>
      <w:r w:rsidR="00764000" w:rsidRPr="00DE1739">
        <w:rPr>
          <w:sz w:val="20"/>
        </w:rPr>
        <w:t xml:space="preserve"> </w:t>
      </w:r>
      <w:r w:rsidR="00DE1739">
        <w:rPr>
          <w:sz w:val="20"/>
        </w:rPr>
        <w:t>[</w:t>
      </w:r>
      <w:r w:rsidR="00DE1739" w:rsidRPr="00DE1739">
        <w:rPr>
          <w:rStyle w:val="EndnoteReference"/>
          <w:sz w:val="20"/>
          <w:vertAlign w:val="baseline"/>
        </w:rPr>
        <w:endnoteReference w:id="3"/>
      </w:r>
      <w:r w:rsidR="00DE1739">
        <w:rPr>
          <w:sz w:val="20"/>
        </w:rPr>
        <w:t>]</w:t>
      </w:r>
      <w:r w:rsidR="00B749CA" w:rsidRPr="00DE1739">
        <w:rPr>
          <w:sz w:val="20"/>
        </w:rPr>
        <w:t>.</w:t>
      </w:r>
      <w:r w:rsidR="00B749CA" w:rsidRPr="00932B28">
        <w:rPr>
          <w:sz w:val="20"/>
        </w:rPr>
        <w:t xml:space="preserve"> Apart from advantages in production and safety, mRNA itself and the carrier molecules can </w:t>
      </w:r>
      <w:r w:rsidR="00F71F1B">
        <w:rPr>
          <w:sz w:val="20"/>
        </w:rPr>
        <w:t xml:space="preserve">be modified to </w:t>
      </w:r>
      <w:r w:rsidR="00B749CA" w:rsidRPr="00932B28">
        <w:rPr>
          <w:sz w:val="20"/>
        </w:rPr>
        <w:t xml:space="preserve">increase the </w:t>
      </w:r>
      <w:r w:rsidR="00B749CA" w:rsidRPr="00F87DA5">
        <w:rPr>
          <w:sz w:val="20"/>
        </w:rPr>
        <w:t>efficiency</w:t>
      </w:r>
      <w:r w:rsidR="00F71F1B" w:rsidRPr="00F87DA5">
        <w:rPr>
          <w:sz w:val="20"/>
        </w:rPr>
        <w:t xml:space="preserve"> of the vaccine</w:t>
      </w:r>
      <w:r w:rsidR="00A407ED" w:rsidRPr="00F87DA5">
        <w:rPr>
          <w:sz w:val="20"/>
        </w:rPr>
        <w:t xml:space="preserve"> </w:t>
      </w:r>
      <w:r w:rsidR="00F87DA5" w:rsidRPr="00F87DA5">
        <w:rPr>
          <w:rStyle w:val="DDLReferenceSuperscript"/>
          <w:sz w:val="20"/>
          <w:vertAlign w:val="baseline"/>
        </w:rPr>
        <w:t>[</w:t>
      </w:r>
      <w:r w:rsidR="00F87DA5" w:rsidRPr="00F87DA5">
        <w:rPr>
          <w:rStyle w:val="DDLReferenceSuperscript"/>
          <w:sz w:val="20"/>
          <w:vertAlign w:val="baseline"/>
        </w:rPr>
        <w:endnoteReference w:id="4"/>
      </w:r>
      <w:r w:rsidR="00F87DA5" w:rsidRPr="00F87DA5">
        <w:rPr>
          <w:rStyle w:val="DDLReferenceSuperscript"/>
          <w:sz w:val="20"/>
          <w:vertAlign w:val="baseline"/>
        </w:rPr>
        <w:t>].</w:t>
      </w:r>
      <w:r w:rsidR="00F87DA5">
        <w:rPr>
          <w:rStyle w:val="DDLReferenceSuperscript"/>
          <w:vertAlign w:val="baseline"/>
        </w:rPr>
        <w:t xml:space="preserve"> </w:t>
      </w:r>
      <w:r w:rsidR="00F71F1B">
        <w:rPr>
          <w:sz w:val="20"/>
        </w:rPr>
        <w:t>In this study, we chose the cationic lipid DOTAP</w:t>
      </w:r>
      <w:r w:rsidR="00CB3B32">
        <w:rPr>
          <w:sz w:val="20"/>
        </w:rPr>
        <w:t xml:space="preserve"> </w:t>
      </w:r>
      <w:r w:rsidR="00CB3B32" w:rsidRPr="00F27DAA">
        <w:rPr>
          <w:sz w:val="20"/>
        </w:rPr>
        <w:t>(1,2-dioleoyloxypropyl)-N,N,N-trimethylammonium chloride)</w:t>
      </w:r>
      <w:r w:rsidR="00F71F1B">
        <w:rPr>
          <w:sz w:val="20"/>
        </w:rPr>
        <w:t xml:space="preserve"> and the neutral lipid DOPE</w:t>
      </w:r>
      <w:r w:rsidR="00CF069C">
        <w:rPr>
          <w:sz w:val="20"/>
        </w:rPr>
        <w:t xml:space="preserve"> </w:t>
      </w:r>
      <w:r w:rsidR="00CF069C" w:rsidRPr="00F27DAA">
        <w:rPr>
          <w:sz w:val="20"/>
        </w:rPr>
        <w:t>(1,2-dioleoyl-sn</w:t>
      </w:r>
      <w:r w:rsidR="00CF069C">
        <w:rPr>
          <w:sz w:val="20"/>
        </w:rPr>
        <w:t>-</w:t>
      </w:r>
      <w:r w:rsidR="00E83452">
        <w:rPr>
          <w:sz w:val="20"/>
        </w:rPr>
        <w:t>glycerol</w:t>
      </w:r>
      <w:r w:rsidR="00CF069C">
        <w:rPr>
          <w:sz w:val="20"/>
        </w:rPr>
        <w:t>-3-phosphoethanolamine)</w:t>
      </w:r>
      <w:r w:rsidR="00F71F1B">
        <w:rPr>
          <w:sz w:val="20"/>
        </w:rPr>
        <w:t xml:space="preserve"> as carrier lipids, which </w:t>
      </w:r>
      <w:r w:rsidR="001B34C3">
        <w:rPr>
          <w:sz w:val="20"/>
        </w:rPr>
        <w:t>is</w:t>
      </w:r>
      <w:r w:rsidR="005F6322">
        <w:rPr>
          <w:sz w:val="20"/>
        </w:rPr>
        <w:t xml:space="preserve"> a</w:t>
      </w:r>
      <w:r w:rsidR="001B34C3">
        <w:rPr>
          <w:sz w:val="20"/>
        </w:rPr>
        <w:t xml:space="preserve"> </w:t>
      </w:r>
      <w:r w:rsidR="005F6322">
        <w:rPr>
          <w:sz w:val="20"/>
        </w:rPr>
        <w:t>well-established</w:t>
      </w:r>
      <w:r w:rsidR="001B34C3">
        <w:rPr>
          <w:sz w:val="20"/>
        </w:rPr>
        <w:t xml:space="preserve"> transfection agent</w:t>
      </w:r>
      <w:r w:rsidR="005F6322">
        <w:rPr>
          <w:sz w:val="20"/>
        </w:rPr>
        <w:t xml:space="preserve"> and safe</w:t>
      </w:r>
      <w:r w:rsidR="001B34C3">
        <w:rPr>
          <w:sz w:val="20"/>
        </w:rPr>
        <w:t xml:space="preserve"> for human </w:t>
      </w:r>
      <w:r w:rsidR="001B34C3" w:rsidRPr="003D00D6">
        <w:rPr>
          <w:sz w:val="20"/>
        </w:rPr>
        <w:t>administration</w:t>
      </w:r>
      <w:r w:rsidR="003D00D6" w:rsidRPr="003D00D6">
        <w:rPr>
          <w:sz w:val="20"/>
        </w:rPr>
        <w:t xml:space="preserve"> </w:t>
      </w:r>
      <w:r w:rsidR="003D00D6">
        <w:rPr>
          <w:sz w:val="20"/>
        </w:rPr>
        <w:t>[</w:t>
      </w:r>
      <w:r w:rsidR="003D00D6" w:rsidRPr="003D00D6">
        <w:rPr>
          <w:rStyle w:val="EndnoteReference"/>
          <w:sz w:val="20"/>
          <w:vertAlign w:val="baseline"/>
        </w:rPr>
        <w:endnoteReference w:id="5"/>
      </w:r>
      <w:r w:rsidR="003D00D6">
        <w:rPr>
          <w:sz w:val="20"/>
        </w:rPr>
        <w:t>]</w:t>
      </w:r>
      <w:r w:rsidR="005F6322">
        <w:rPr>
          <w:sz w:val="20"/>
        </w:rPr>
        <w:t xml:space="preserve">. This allowed us </w:t>
      </w:r>
      <w:r w:rsidR="00E83452" w:rsidRPr="003D00D6">
        <w:rPr>
          <w:sz w:val="20"/>
        </w:rPr>
        <w:t>to</w:t>
      </w:r>
      <w:r w:rsidR="00F71F1B" w:rsidRPr="003D00D6">
        <w:rPr>
          <w:sz w:val="20"/>
        </w:rPr>
        <w:t xml:space="preserve"> focus on the formulation</w:t>
      </w:r>
      <w:r w:rsidR="00F71F1B">
        <w:rPr>
          <w:sz w:val="20"/>
        </w:rPr>
        <w:t xml:space="preserve"> in the </w:t>
      </w:r>
      <w:r w:rsidR="00E83452">
        <w:rPr>
          <w:sz w:val="20"/>
        </w:rPr>
        <w:t>solid state</w:t>
      </w:r>
      <w:r w:rsidR="005F6322">
        <w:rPr>
          <w:sz w:val="20"/>
        </w:rPr>
        <w:t xml:space="preserve"> rather than the lipid composition</w:t>
      </w:r>
      <w:r w:rsidR="00A938EF">
        <w:rPr>
          <w:sz w:val="20"/>
        </w:rPr>
        <w:t xml:space="preserve">. </w:t>
      </w:r>
      <w:r w:rsidR="00271627">
        <w:rPr>
          <w:sz w:val="20"/>
        </w:rPr>
        <w:t>In a previous study</w:t>
      </w:r>
      <w:r w:rsidR="00E83452">
        <w:rPr>
          <w:sz w:val="20"/>
        </w:rPr>
        <w:t>,</w:t>
      </w:r>
      <w:r w:rsidR="00271627">
        <w:rPr>
          <w:sz w:val="20"/>
        </w:rPr>
        <w:t xml:space="preserve"> we</w:t>
      </w:r>
      <w:r w:rsidR="00A938EF">
        <w:rPr>
          <w:sz w:val="20"/>
        </w:rPr>
        <w:t xml:space="preserve"> determined the most successful </w:t>
      </w:r>
      <w:r w:rsidR="00A938EF" w:rsidRPr="003D00D6">
        <w:rPr>
          <w:sz w:val="20"/>
        </w:rPr>
        <w:t xml:space="preserve">weight ratio of mRNA and lipids, using reporter gene mRNA </w:t>
      </w:r>
      <w:r w:rsidR="00AF2EC7" w:rsidRPr="003D00D6">
        <w:rPr>
          <w:sz w:val="20"/>
        </w:rPr>
        <w:t>en</w:t>
      </w:r>
      <w:r w:rsidR="00A938EF" w:rsidRPr="003D00D6">
        <w:rPr>
          <w:sz w:val="20"/>
        </w:rPr>
        <w:t xml:space="preserve">coding for firefly luciferase and Calu-3 cells as the model cell line </w:t>
      </w:r>
      <w:r w:rsidR="006D1F88" w:rsidRPr="003D00D6">
        <w:rPr>
          <w:sz w:val="20"/>
        </w:rPr>
        <w:t>[</w:t>
      </w:r>
      <w:r w:rsidR="001B34C3" w:rsidRPr="003D00D6">
        <w:rPr>
          <w:rStyle w:val="EndnoteReference"/>
          <w:sz w:val="20"/>
          <w:vertAlign w:val="baseline"/>
        </w:rPr>
        <w:endnoteReference w:id="6"/>
      </w:r>
      <w:r w:rsidR="006D1F88" w:rsidRPr="003D00D6">
        <w:rPr>
          <w:sz w:val="20"/>
        </w:rPr>
        <w:t>].</w:t>
      </w:r>
    </w:p>
    <w:p w14:paraId="09B8D1B4" w14:textId="3776BBB1" w:rsidR="008A3FB2" w:rsidRDefault="003D00D6" w:rsidP="0016236A">
      <w:pPr>
        <w:pStyle w:val="DDLBodyText"/>
        <w:spacing w:after="0"/>
        <w:rPr>
          <w:bCs/>
          <w:sz w:val="20"/>
        </w:rPr>
      </w:pPr>
      <w:r w:rsidRPr="003D00D6">
        <w:rPr>
          <w:sz w:val="20"/>
        </w:rPr>
        <w:t>The mRNA</w:t>
      </w:r>
      <w:r w:rsidR="007A5B67">
        <w:rPr>
          <w:sz w:val="20"/>
        </w:rPr>
        <w:t>-</w:t>
      </w:r>
      <w:r w:rsidRPr="003D00D6">
        <w:rPr>
          <w:sz w:val="20"/>
        </w:rPr>
        <w:t>lipoplexes shall be transferred to dry powder particles in the inhalable range to obtain a dry powder formulation</w:t>
      </w:r>
      <w:r w:rsidR="00AF2EC7">
        <w:rPr>
          <w:sz w:val="20"/>
        </w:rPr>
        <w:t xml:space="preserve">. Here, the excipient shall allow lipoplex stabilisation and maintain transfection efficiency. Depending on powder properties, the final dosage form may consist of the </w:t>
      </w:r>
      <w:r w:rsidR="00E83452">
        <w:rPr>
          <w:sz w:val="20"/>
        </w:rPr>
        <w:t>spray-dried</w:t>
      </w:r>
      <w:r w:rsidR="00AF2EC7">
        <w:rPr>
          <w:sz w:val="20"/>
        </w:rPr>
        <w:t xml:space="preserve"> particles without or with </w:t>
      </w:r>
      <w:r w:rsidR="00E83452">
        <w:rPr>
          <w:sz w:val="20"/>
        </w:rPr>
        <w:t xml:space="preserve">the </w:t>
      </w:r>
      <w:r w:rsidR="00AF2EC7">
        <w:rPr>
          <w:sz w:val="20"/>
        </w:rPr>
        <w:t>addition of further excipients.</w:t>
      </w:r>
      <w:r w:rsidR="00E83452">
        <w:rPr>
          <w:sz w:val="20"/>
        </w:rPr>
        <w:t xml:space="preserve"> </w:t>
      </w:r>
      <w:r w:rsidR="00AF2EC7" w:rsidRPr="00E83452">
        <w:rPr>
          <w:bCs/>
          <w:sz w:val="20"/>
        </w:rPr>
        <w:t xml:space="preserve">This study </w:t>
      </w:r>
      <w:r w:rsidR="00BF6110">
        <w:rPr>
          <w:bCs/>
          <w:sz w:val="20"/>
        </w:rPr>
        <w:t>aims to identify</w:t>
      </w:r>
      <w:r w:rsidR="008C62DD">
        <w:rPr>
          <w:bCs/>
          <w:sz w:val="20"/>
        </w:rPr>
        <w:t xml:space="preserve"> </w:t>
      </w:r>
      <w:r w:rsidR="00A66E7C">
        <w:rPr>
          <w:bCs/>
          <w:sz w:val="20"/>
        </w:rPr>
        <w:t xml:space="preserve">a </w:t>
      </w:r>
      <w:r w:rsidR="008C62DD">
        <w:rPr>
          <w:bCs/>
          <w:sz w:val="20"/>
        </w:rPr>
        <w:t>tubing material suitable for liquid handling of mRNA-lipoplexes</w:t>
      </w:r>
      <w:r w:rsidR="00A66E7C">
        <w:rPr>
          <w:bCs/>
          <w:sz w:val="20"/>
        </w:rPr>
        <w:t xml:space="preserve"> in the course of spray drying</w:t>
      </w:r>
      <w:r w:rsidR="008C62DD">
        <w:rPr>
          <w:bCs/>
          <w:sz w:val="20"/>
        </w:rPr>
        <w:t>.</w:t>
      </w:r>
    </w:p>
    <w:p w14:paraId="125198D2" w14:textId="77777777" w:rsidR="008A3FB2" w:rsidRDefault="008A3FB2">
      <w:pPr>
        <w:spacing w:after="0"/>
        <w:jc w:val="left"/>
        <w:rPr>
          <w:bCs/>
          <w:sz w:val="20"/>
        </w:rPr>
      </w:pPr>
      <w:r>
        <w:rPr>
          <w:bCs/>
          <w:sz w:val="20"/>
        </w:rPr>
        <w:br w:type="page"/>
      </w:r>
    </w:p>
    <w:p w14:paraId="5F606D21" w14:textId="77777777" w:rsidR="00966CD3" w:rsidRPr="00582113" w:rsidRDefault="006C64A1" w:rsidP="009204DA">
      <w:pPr>
        <w:pStyle w:val="DDLHeading1"/>
        <w:spacing w:after="120"/>
        <w:rPr>
          <w:sz w:val="20"/>
          <w:szCs w:val="20"/>
        </w:rPr>
      </w:pPr>
      <w:r>
        <w:rPr>
          <w:sz w:val="20"/>
          <w:szCs w:val="20"/>
        </w:rPr>
        <w:lastRenderedPageBreak/>
        <w:t xml:space="preserve">Materials and </w:t>
      </w:r>
      <w:r w:rsidR="00C4032A">
        <w:rPr>
          <w:sz w:val="20"/>
          <w:szCs w:val="20"/>
        </w:rPr>
        <w:t xml:space="preserve">Experimental Methods </w:t>
      </w:r>
    </w:p>
    <w:p w14:paraId="114777B6" w14:textId="77777777" w:rsidR="00476DA6" w:rsidRPr="00AE7D6E" w:rsidRDefault="00476DA6" w:rsidP="00960AE2">
      <w:pPr>
        <w:pStyle w:val="DDLBodyText"/>
        <w:spacing w:after="0"/>
        <w:rPr>
          <w:sz w:val="20"/>
          <w:u w:val="single"/>
        </w:rPr>
      </w:pPr>
      <w:r w:rsidRPr="00AE7D6E">
        <w:rPr>
          <w:sz w:val="20"/>
          <w:u w:val="single"/>
        </w:rPr>
        <w:t>M</w:t>
      </w:r>
      <w:r>
        <w:rPr>
          <w:sz w:val="20"/>
          <w:u w:val="single"/>
        </w:rPr>
        <w:t xml:space="preserve">essenger </w:t>
      </w:r>
      <w:r w:rsidRPr="00AE7D6E">
        <w:rPr>
          <w:sz w:val="20"/>
          <w:u w:val="single"/>
        </w:rPr>
        <w:t xml:space="preserve">RNA </w:t>
      </w:r>
    </w:p>
    <w:p w14:paraId="7DC84A18" w14:textId="77777777" w:rsidR="00476DA6" w:rsidRDefault="00476DA6" w:rsidP="00476DA6">
      <w:pPr>
        <w:pStyle w:val="DDLBodyText"/>
        <w:rPr>
          <w:sz w:val="20"/>
        </w:rPr>
      </w:pPr>
      <w:r>
        <w:rPr>
          <w:sz w:val="20"/>
        </w:rPr>
        <w:t>As a model mRNA, we chose the commonly used Firefly Luciferase (</w:t>
      </w:r>
      <w:proofErr w:type="spellStart"/>
      <w:r>
        <w:rPr>
          <w:sz w:val="20"/>
        </w:rPr>
        <w:t>FLuc</w:t>
      </w:r>
      <w:proofErr w:type="spellEnd"/>
      <w:r>
        <w:rPr>
          <w:sz w:val="20"/>
        </w:rPr>
        <w:t xml:space="preserve">) mRNA and purchased it from </w:t>
      </w:r>
      <w:proofErr w:type="spellStart"/>
      <w:r w:rsidRPr="00F27DAA">
        <w:rPr>
          <w:sz w:val="20"/>
        </w:rPr>
        <w:t>RiboPro</w:t>
      </w:r>
      <w:proofErr w:type="spellEnd"/>
      <w:r w:rsidRPr="00F27DAA">
        <w:rPr>
          <w:sz w:val="20"/>
        </w:rPr>
        <w:t xml:space="preserve"> (Oss, The Netherlands)</w:t>
      </w:r>
      <w:r>
        <w:rPr>
          <w:sz w:val="20"/>
        </w:rPr>
        <w:t xml:space="preserve">. </w:t>
      </w:r>
      <w:r w:rsidRPr="00F27DAA">
        <w:rPr>
          <w:sz w:val="20"/>
        </w:rPr>
        <w:t xml:space="preserve">The </w:t>
      </w:r>
      <w:proofErr w:type="spellStart"/>
      <w:r w:rsidRPr="00F27DAA">
        <w:rPr>
          <w:sz w:val="20"/>
        </w:rPr>
        <w:t>FLuc</w:t>
      </w:r>
      <w:proofErr w:type="spellEnd"/>
      <w:r w:rsidRPr="00F27DAA">
        <w:rPr>
          <w:sz w:val="20"/>
        </w:rPr>
        <w:t xml:space="preserve"> mRNA was diluted with </w:t>
      </w:r>
      <w:proofErr w:type="spellStart"/>
      <w:r w:rsidRPr="00F27DAA">
        <w:rPr>
          <w:sz w:val="20"/>
        </w:rPr>
        <w:t>UltraPure</w:t>
      </w:r>
      <w:r w:rsidRPr="00C900EF">
        <w:rPr>
          <w:sz w:val="20"/>
          <w:vertAlign w:val="superscript"/>
        </w:rPr>
        <w:t>TM</w:t>
      </w:r>
      <w:proofErr w:type="spellEnd"/>
      <w:r w:rsidRPr="00F27DAA">
        <w:rPr>
          <w:sz w:val="20"/>
        </w:rPr>
        <w:t xml:space="preserve"> DNase/RNase-Free </w:t>
      </w:r>
      <w:r>
        <w:rPr>
          <w:sz w:val="20"/>
        </w:rPr>
        <w:t>d</w:t>
      </w:r>
      <w:r w:rsidRPr="00F27DAA">
        <w:rPr>
          <w:sz w:val="20"/>
        </w:rPr>
        <w:t xml:space="preserve">istilled </w:t>
      </w:r>
      <w:r>
        <w:rPr>
          <w:sz w:val="20"/>
        </w:rPr>
        <w:t>w</w:t>
      </w:r>
      <w:r w:rsidRPr="00F27DAA">
        <w:rPr>
          <w:sz w:val="20"/>
        </w:rPr>
        <w:t>ater (RNase-free water) or Opti-MEM</w:t>
      </w:r>
      <w:r w:rsidRPr="00AE7D6E">
        <w:rPr>
          <w:sz w:val="20"/>
          <w:vertAlign w:val="superscript"/>
        </w:rPr>
        <w:t>TM</w:t>
      </w:r>
      <w:r w:rsidRPr="00F27DAA">
        <w:rPr>
          <w:sz w:val="20"/>
        </w:rPr>
        <w:t xml:space="preserve"> (both </w:t>
      </w:r>
      <w:proofErr w:type="spellStart"/>
      <w:r w:rsidRPr="00F27DAA">
        <w:rPr>
          <w:sz w:val="20"/>
        </w:rPr>
        <w:t>Thermo</w:t>
      </w:r>
      <w:proofErr w:type="spellEnd"/>
      <w:r w:rsidRPr="00F27DAA">
        <w:rPr>
          <w:sz w:val="20"/>
        </w:rPr>
        <w:t xml:space="preserve"> Fisher Scientific, Waltham, USA) to obt</w:t>
      </w:r>
      <w:r>
        <w:rPr>
          <w:sz w:val="20"/>
        </w:rPr>
        <w:t>ain a working concentration of 0.1 </w:t>
      </w:r>
      <w:r w:rsidRPr="00F27DAA">
        <w:rPr>
          <w:sz w:val="20"/>
        </w:rPr>
        <w:t>µg/</w:t>
      </w:r>
      <w:r>
        <w:rPr>
          <w:sz w:val="20"/>
        </w:rPr>
        <w:t>µ</w:t>
      </w:r>
      <w:r w:rsidRPr="00F27DAA">
        <w:rPr>
          <w:sz w:val="20"/>
        </w:rPr>
        <w:t>l.</w:t>
      </w:r>
      <w:r>
        <w:rPr>
          <w:sz w:val="20"/>
        </w:rPr>
        <w:t xml:space="preserve"> </w:t>
      </w:r>
    </w:p>
    <w:p w14:paraId="07CF77C7" w14:textId="77777777" w:rsidR="00476DA6" w:rsidRPr="00AE7D6E" w:rsidRDefault="00476DA6" w:rsidP="00960AE2">
      <w:pPr>
        <w:pStyle w:val="DDLBodyText"/>
        <w:spacing w:after="0"/>
        <w:rPr>
          <w:sz w:val="20"/>
          <w:u w:val="single"/>
        </w:rPr>
      </w:pPr>
      <w:r w:rsidRPr="00AE7D6E">
        <w:rPr>
          <w:sz w:val="20"/>
          <w:u w:val="single"/>
        </w:rPr>
        <w:t>Preparation of DOTAP:DOPE-Liposomes</w:t>
      </w:r>
    </w:p>
    <w:p w14:paraId="3D32C6EA" w14:textId="77777777" w:rsidR="00476DA6" w:rsidRDefault="00476DA6" w:rsidP="00476DA6">
      <w:pPr>
        <w:pStyle w:val="DDLBodyText"/>
        <w:rPr>
          <w:sz w:val="20"/>
        </w:rPr>
      </w:pPr>
      <w:r>
        <w:rPr>
          <w:sz w:val="20"/>
        </w:rPr>
        <w:t xml:space="preserve">The liposomes were built of </w:t>
      </w:r>
      <w:r w:rsidRPr="00F27DAA">
        <w:rPr>
          <w:sz w:val="20"/>
        </w:rPr>
        <w:t>DOTAP (1,2-dioleoyloxypropyl)-N,N,N-trimethylammonium chloride) and the neutral lipid DOPE (1,2-dioleoyl-sn-</w:t>
      </w:r>
      <w:r>
        <w:rPr>
          <w:sz w:val="20"/>
        </w:rPr>
        <w:t>glycerol</w:t>
      </w:r>
      <w:r w:rsidRPr="00F27DAA">
        <w:rPr>
          <w:sz w:val="20"/>
        </w:rPr>
        <w:t>-3-phosphoethanolamine) (Avanti Polar Lipids</w:t>
      </w:r>
      <w:r w:rsidR="002D4B0C">
        <w:rPr>
          <w:sz w:val="20"/>
        </w:rPr>
        <w:t>, Birmingham, AL, USA</w:t>
      </w:r>
      <w:r w:rsidRPr="00F27DAA">
        <w:rPr>
          <w:sz w:val="20"/>
        </w:rPr>
        <w:t>)</w:t>
      </w:r>
      <w:r>
        <w:rPr>
          <w:sz w:val="20"/>
        </w:rPr>
        <w:t xml:space="preserve"> in an equal weight ratio. The solid DOTAP:DOPE (D:D) mixture was dissolved in chloroform </w:t>
      </w:r>
      <w:r w:rsidRPr="00F27DAA">
        <w:rPr>
          <w:sz w:val="20"/>
        </w:rPr>
        <w:t>(Carl Roth, Karlsruhe, Germany) and</w:t>
      </w:r>
      <w:r>
        <w:rPr>
          <w:sz w:val="20"/>
        </w:rPr>
        <w:t xml:space="preserve"> pipetted into a sterile and </w:t>
      </w:r>
      <w:proofErr w:type="spellStart"/>
      <w:r>
        <w:rPr>
          <w:sz w:val="20"/>
        </w:rPr>
        <w:t>RNAse</w:t>
      </w:r>
      <w:proofErr w:type="spellEnd"/>
      <w:r>
        <w:rPr>
          <w:sz w:val="20"/>
        </w:rPr>
        <w:t xml:space="preserve">-free tube. To form a lipid film, the chloroform was evaporated overnight: The remaining lipid film was stored at - 30 °C until one day before transfection when the lipid film was solubilised by adding RNase-free water to gain a concentration of </w:t>
      </w:r>
      <w:r w:rsidRPr="00734E6B">
        <w:rPr>
          <w:sz w:val="20"/>
        </w:rPr>
        <w:t>0.5</w:t>
      </w:r>
      <w:r>
        <w:rPr>
          <w:sz w:val="20"/>
        </w:rPr>
        <w:t> </w:t>
      </w:r>
      <w:r w:rsidRPr="00734E6B">
        <w:rPr>
          <w:sz w:val="20"/>
        </w:rPr>
        <w:t>µg/µl</w:t>
      </w:r>
      <w:r>
        <w:rPr>
          <w:sz w:val="20"/>
        </w:rPr>
        <w:t>. To produce liposomes of uniform size, the solubilised lipid film was homogenised for 3</w:t>
      </w:r>
      <w:r w:rsidRPr="00734E6B">
        <w:rPr>
          <w:sz w:val="20"/>
        </w:rPr>
        <w:t>0</w:t>
      </w:r>
      <w:r>
        <w:rPr>
          <w:sz w:val="20"/>
        </w:rPr>
        <w:t> </w:t>
      </w:r>
      <w:r w:rsidRPr="00734E6B">
        <w:rPr>
          <w:sz w:val="20"/>
        </w:rPr>
        <w:t xml:space="preserve">s with a </w:t>
      </w:r>
      <w:proofErr w:type="spellStart"/>
      <w:r w:rsidRPr="00734E6B">
        <w:rPr>
          <w:sz w:val="20"/>
        </w:rPr>
        <w:t>sonicator</w:t>
      </w:r>
      <w:proofErr w:type="spellEnd"/>
      <w:r w:rsidRPr="00734E6B">
        <w:rPr>
          <w:sz w:val="20"/>
        </w:rPr>
        <w:t xml:space="preserve"> (</w:t>
      </w:r>
      <w:proofErr w:type="spellStart"/>
      <w:r w:rsidRPr="00734E6B">
        <w:rPr>
          <w:sz w:val="20"/>
        </w:rPr>
        <w:t>Sonoplus</w:t>
      </w:r>
      <w:proofErr w:type="spellEnd"/>
      <w:r w:rsidRPr="00734E6B">
        <w:rPr>
          <w:sz w:val="20"/>
        </w:rPr>
        <w:t xml:space="preserve"> HD 4100, </w:t>
      </w:r>
      <w:proofErr w:type="spellStart"/>
      <w:r w:rsidRPr="00734E6B">
        <w:rPr>
          <w:sz w:val="20"/>
        </w:rPr>
        <w:t>Bandelin</w:t>
      </w:r>
      <w:proofErr w:type="spellEnd"/>
      <w:r w:rsidRPr="00734E6B">
        <w:rPr>
          <w:sz w:val="20"/>
        </w:rPr>
        <w:t>, Berlin</w:t>
      </w:r>
      <w:r>
        <w:rPr>
          <w:sz w:val="20"/>
        </w:rPr>
        <w:t>, Germany) at an amplitude of 25 </w:t>
      </w:r>
      <w:r w:rsidRPr="00734E6B">
        <w:rPr>
          <w:sz w:val="20"/>
        </w:rPr>
        <w:t xml:space="preserve">%. </w:t>
      </w:r>
    </w:p>
    <w:p w14:paraId="6005CCA2" w14:textId="50527D34" w:rsidR="00476DA6" w:rsidRPr="00AE7D6E" w:rsidRDefault="00476DA6" w:rsidP="00960AE2">
      <w:pPr>
        <w:pStyle w:val="DDLBodyText"/>
        <w:spacing w:after="0"/>
        <w:rPr>
          <w:sz w:val="20"/>
          <w:u w:val="single"/>
        </w:rPr>
      </w:pPr>
      <w:r w:rsidRPr="00AE7D6E">
        <w:rPr>
          <w:sz w:val="20"/>
          <w:u w:val="single"/>
        </w:rPr>
        <w:t>Preparation of mRNA</w:t>
      </w:r>
      <w:r>
        <w:rPr>
          <w:sz w:val="20"/>
          <w:u w:val="single"/>
        </w:rPr>
        <w:t>-</w:t>
      </w:r>
      <w:r w:rsidR="00960AE2">
        <w:rPr>
          <w:sz w:val="20"/>
          <w:u w:val="single"/>
        </w:rPr>
        <w:t>l</w:t>
      </w:r>
      <w:r w:rsidRPr="00AE7D6E">
        <w:rPr>
          <w:sz w:val="20"/>
          <w:u w:val="single"/>
        </w:rPr>
        <w:t xml:space="preserve">ipoplexes </w:t>
      </w:r>
    </w:p>
    <w:p w14:paraId="59884395" w14:textId="24C1725F" w:rsidR="00476DA6" w:rsidRDefault="00476DA6" w:rsidP="00476DA6">
      <w:pPr>
        <w:pStyle w:val="DDLBodyText"/>
        <w:rPr>
          <w:sz w:val="20"/>
        </w:rPr>
      </w:pPr>
      <w:r>
        <w:rPr>
          <w:sz w:val="20"/>
        </w:rPr>
        <w:t xml:space="preserve">As a first step, equal volumes of the D:D- und mRNA solutions were mixed to obtain a D:D + mRNA-weight ratio of 5 + 1. After 20 minutes of incubation, the lipoplexes serving as transfection control were diluted with </w:t>
      </w:r>
      <w:r w:rsidRPr="00F27DAA">
        <w:rPr>
          <w:sz w:val="20"/>
        </w:rPr>
        <w:t>Opti-MEM</w:t>
      </w:r>
      <w:r w:rsidRPr="00AE7D6E">
        <w:rPr>
          <w:sz w:val="20"/>
          <w:vertAlign w:val="superscript"/>
        </w:rPr>
        <w:t>TM</w:t>
      </w:r>
      <w:r w:rsidR="00257899">
        <w:rPr>
          <w:sz w:val="20"/>
        </w:rPr>
        <w:t xml:space="preserve">. The lipoplexes </w:t>
      </w:r>
      <w:r>
        <w:rPr>
          <w:sz w:val="20"/>
        </w:rPr>
        <w:t>for the pumping and spraying experiments were diluted with RNase-free water to a final mRNA concentration of 2 ng/µl. A stock solution of mannitol (D-</w:t>
      </w:r>
      <w:proofErr w:type="spellStart"/>
      <w:r>
        <w:rPr>
          <w:sz w:val="20"/>
        </w:rPr>
        <w:t>mannit</w:t>
      </w:r>
      <w:proofErr w:type="spellEnd"/>
      <w:r>
        <w:rPr>
          <w:sz w:val="20"/>
        </w:rPr>
        <w:t xml:space="preserve">, Carl Roth, Karlsruhe, Germany) </w:t>
      </w:r>
      <w:r w:rsidR="00DC73F1">
        <w:rPr>
          <w:sz w:val="20"/>
        </w:rPr>
        <w:t>or lactose (</w:t>
      </w:r>
      <w:proofErr w:type="spellStart"/>
      <w:r w:rsidR="00DC73F1">
        <w:rPr>
          <w:sz w:val="20"/>
        </w:rPr>
        <w:t>Inhalac</w:t>
      </w:r>
      <w:proofErr w:type="spellEnd"/>
      <w:r w:rsidR="00DC73F1">
        <w:rPr>
          <w:sz w:val="20"/>
        </w:rPr>
        <w:t xml:space="preserve">® 400, </w:t>
      </w:r>
      <w:proofErr w:type="spellStart"/>
      <w:r w:rsidR="00DC73F1">
        <w:rPr>
          <w:sz w:val="20"/>
        </w:rPr>
        <w:t>Meggle</w:t>
      </w:r>
      <w:proofErr w:type="spellEnd"/>
      <w:r w:rsidR="00A577BE">
        <w:rPr>
          <w:sz w:val="20"/>
        </w:rPr>
        <w:t>,</w:t>
      </w:r>
      <w:r w:rsidR="00DC73F1">
        <w:rPr>
          <w:sz w:val="20"/>
        </w:rPr>
        <w:t xml:space="preserve"> </w:t>
      </w:r>
      <w:proofErr w:type="spellStart"/>
      <w:r w:rsidR="00DC73F1">
        <w:rPr>
          <w:sz w:val="20"/>
        </w:rPr>
        <w:t>Wasserburg</w:t>
      </w:r>
      <w:proofErr w:type="spellEnd"/>
      <w:r w:rsidR="00D151A7">
        <w:rPr>
          <w:sz w:val="20"/>
        </w:rPr>
        <w:t xml:space="preserve"> am Inn</w:t>
      </w:r>
      <w:r w:rsidR="00DC73F1">
        <w:rPr>
          <w:sz w:val="20"/>
        </w:rPr>
        <w:t xml:space="preserve">, Germany) </w:t>
      </w:r>
      <w:r>
        <w:rPr>
          <w:sz w:val="20"/>
        </w:rPr>
        <w:t xml:space="preserve">was prepared and added to the complexes to </w:t>
      </w:r>
      <w:r w:rsidR="006D3B24">
        <w:rPr>
          <w:sz w:val="20"/>
        </w:rPr>
        <w:t>obtain</w:t>
      </w:r>
      <w:r>
        <w:rPr>
          <w:sz w:val="20"/>
        </w:rPr>
        <w:t xml:space="preserve"> a solid concentration of 20 µg/µl. A sample, which was not pumped or sprayed, served as a control and was additionally diluted with an equal volume of </w:t>
      </w:r>
      <w:r w:rsidRPr="00F27DAA">
        <w:rPr>
          <w:sz w:val="20"/>
        </w:rPr>
        <w:t>Opti-MEM</w:t>
      </w:r>
      <w:r w:rsidRPr="00AE7D6E">
        <w:rPr>
          <w:sz w:val="20"/>
          <w:vertAlign w:val="superscript"/>
        </w:rPr>
        <w:t>TM</w:t>
      </w:r>
      <w:r w:rsidRPr="00C900EF">
        <w:rPr>
          <w:sz w:val="20"/>
        </w:rPr>
        <w:t xml:space="preserve"> </w:t>
      </w:r>
      <w:r>
        <w:rPr>
          <w:sz w:val="20"/>
        </w:rPr>
        <w:t xml:space="preserve">before transfection to achieve an equal concentration. To evaluate the influence of D:D on mRNA, naked mRNA was also diluted to </w:t>
      </w:r>
      <w:r w:rsidR="00EF3B84">
        <w:rPr>
          <w:sz w:val="20"/>
        </w:rPr>
        <w:t>an</w:t>
      </w:r>
      <w:r>
        <w:rPr>
          <w:sz w:val="20"/>
        </w:rPr>
        <w:t xml:space="preserve"> mRNA concentration of 2 ng/µl. </w:t>
      </w:r>
    </w:p>
    <w:p w14:paraId="5B959813" w14:textId="77777777" w:rsidR="00476DA6" w:rsidRPr="00D430D0" w:rsidRDefault="00476DA6" w:rsidP="00960AE2">
      <w:pPr>
        <w:pStyle w:val="DDLBodyText"/>
        <w:spacing w:after="0"/>
        <w:rPr>
          <w:sz w:val="20"/>
          <w:u w:val="single"/>
        </w:rPr>
      </w:pPr>
      <w:r>
        <w:rPr>
          <w:sz w:val="20"/>
          <w:u w:val="single"/>
        </w:rPr>
        <w:t>Pumping and Spraying Experiments</w:t>
      </w:r>
    </w:p>
    <w:p w14:paraId="14F7EECA" w14:textId="1A5FCF2B" w:rsidR="00476DA6" w:rsidRDefault="00476DA6" w:rsidP="00476DA6">
      <w:pPr>
        <w:pStyle w:val="DDLBodyText"/>
        <w:rPr>
          <w:sz w:val="20"/>
        </w:rPr>
      </w:pPr>
      <w:r>
        <w:rPr>
          <w:sz w:val="20"/>
          <w:lang w:val="en-US"/>
        </w:rPr>
        <w:t xml:space="preserve">Two </w:t>
      </w:r>
      <w:r w:rsidR="00866471">
        <w:rPr>
          <w:sz w:val="20"/>
          <w:lang w:val="en-US"/>
        </w:rPr>
        <w:t>s</w:t>
      </w:r>
      <w:r>
        <w:rPr>
          <w:sz w:val="20"/>
          <w:lang w:val="en-US"/>
        </w:rPr>
        <w:t xml:space="preserve">pray </w:t>
      </w:r>
      <w:r w:rsidR="00866471">
        <w:rPr>
          <w:sz w:val="20"/>
          <w:lang w:val="en-US"/>
        </w:rPr>
        <w:t>d</w:t>
      </w:r>
      <w:r>
        <w:rPr>
          <w:sz w:val="20"/>
          <w:lang w:val="en-US"/>
        </w:rPr>
        <w:t xml:space="preserve">ryers were used for the </w:t>
      </w:r>
      <w:r w:rsidR="00866471">
        <w:rPr>
          <w:sz w:val="20"/>
          <w:lang w:val="en-US"/>
        </w:rPr>
        <w:t>p</w:t>
      </w:r>
      <w:r>
        <w:rPr>
          <w:sz w:val="20"/>
          <w:lang w:val="en-US"/>
        </w:rPr>
        <w:t xml:space="preserve">umping and </w:t>
      </w:r>
      <w:r w:rsidR="00866471">
        <w:rPr>
          <w:sz w:val="20"/>
          <w:lang w:val="en-US"/>
        </w:rPr>
        <w:t>s</w:t>
      </w:r>
      <w:r>
        <w:rPr>
          <w:sz w:val="20"/>
          <w:lang w:val="en-US"/>
        </w:rPr>
        <w:t xml:space="preserve">praying </w:t>
      </w:r>
      <w:r w:rsidR="00A577BE">
        <w:rPr>
          <w:sz w:val="20"/>
          <w:lang w:val="en-US"/>
        </w:rPr>
        <w:t>e</w:t>
      </w:r>
      <w:r>
        <w:rPr>
          <w:sz w:val="20"/>
          <w:lang w:val="en-US"/>
        </w:rPr>
        <w:t>xperiments</w:t>
      </w:r>
      <w:r w:rsidR="00A577BE">
        <w:rPr>
          <w:sz w:val="20"/>
          <w:lang w:val="en-US"/>
        </w:rPr>
        <w:t>, namely</w:t>
      </w:r>
      <w:r>
        <w:rPr>
          <w:sz w:val="20"/>
          <w:lang w:val="en-US"/>
        </w:rPr>
        <w:t xml:space="preserve"> Mini Spray Dryer B-290 and the Nano Spray Dryer B-90 (both </w:t>
      </w:r>
      <w:proofErr w:type="spellStart"/>
      <w:r>
        <w:rPr>
          <w:sz w:val="20"/>
          <w:lang w:val="en-US"/>
        </w:rPr>
        <w:t>Büchi</w:t>
      </w:r>
      <w:proofErr w:type="spellEnd"/>
      <w:r>
        <w:rPr>
          <w:sz w:val="20"/>
          <w:lang w:val="en-US"/>
        </w:rPr>
        <w:t xml:space="preserve"> </w:t>
      </w:r>
      <w:proofErr w:type="spellStart"/>
      <w:r>
        <w:rPr>
          <w:sz w:val="20"/>
          <w:lang w:val="en-US"/>
        </w:rPr>
        <w:t>Labortechnik</w:t>
      </w:r>
      <w:proofErr w:type="spellEnd"/>
      <w:r>
        <w:rPr>
          <w:sz w:val="20"/>
          <w:lang w:val="en-US"/>
        </w:rPr>
        <w:t xml:space="preserve">, </w:t>
      </w:r>
      <w:proofErr w:type="spellStart"/>
      <w:r>
        <w:rPr>
          <w:sz w:val="20"/>
          <w:lang w:val="en-US"/>
        </w:rPr>
        <w:t>Flawil</w:t>
      </w:r>
      <w:proofErr w:type="spellEnd"/>
      <w:r>
        <w:rPr>
          <w:sz w:val="20"/>
          <w:lang w:val="en-US"/>
        </w:rPr>
        <w:t xml:space="preserve">, Switzerland). In these experiments, a silicone tube conducted the fluid to the respective nozzle being pumped by a peristaltic pump attached to the spray dryer. For spraying with the Mini Spray Dryer B-290 a two-fluid nozzle with an internal diameter of 0.7 mm was chosen while the Nano Spray Dryer B-90 was used with the membrane “large”. During the pumping and spraying experiments, the fluid was collected with a falcon tube </w:t>
      </w:r>
      <w:r w:rsidR="004D3178">
        <w:rPr>
          <w:sz w:val="20"/>
          <w:lang w:val="en-US"/>
        </w:rPr>
        <w:t xml:space="preserve">below </w:t>
      </w:r>
      <w:r>
        <w:rPr>
          <w:sz w:val="20"/>
          <w:lang w:val="en-US"/>
        </w:rPr>
        <w:t xml:space="preserve">the respective nozzles. </w:t>
      </w:r>
    </w:p>
    <w:p w14:paraId="069085B7" w14:textId="3D1044F7" w:rsidR="00476DA6" w:rsidRPr="00AE7D6E" w:rsidRDefault="00476DA6" w:rsidP="00960AE2">
      <w:pPr>
        <w:pStyle w:val="DDLBodyText"/>
        <w:spacing w:after="0"/>
        <w:rPr>
          <w:sz w:val="20"/>
          <w:u w:val="single"/>
        </w:rPr>
      </w:pPr>
      <w:r>
        <w:rPr>
          <w:sz w:val="20"/>
          <w:u w:val="single"/>
        </w:rPr>
        <w:t>Various tubes tested with</w:t>
      </w:r>
      <w:r w:rsidRPr="00AE7D6E">
        <w:rPr>
          <w:sz w:val="20"/>
          <w:u w:val="single"/>
        </w:rPr>
        <w:t xml:space="preserve"> naked mRNA and mRNA-</w:t>
      </w:r>
      <w:r w:rsidR="00960AE2">
        <w:rPr>
          <w:sz w:val="20"/>
          <w:u w:val="single"/>
        </w:rPr>
        <w:t>l</w:t>
      </w:r>
      <w:r w:rsidRPr="00AE7D6E">
        <w:rPr>
          <w:sz w:val="20"/>
          <w:u w:val="single"/>
        </w:rPr>
        <w:t>ipoplexes</w:t>
      </w:r>
    </w:p>
    <w:p w14:paraId="71667826" w14:textId="4D1D84B4" w:rsidR="00476DA6" w:rsidRPr="00B74C92" w:rsidRDefault="00CC4C91" w:rsidP="00476DA6">
      <w:pPr>
        <w:pStyle w:val="DDLBodyText"/>
        <w:rPr>
          <w:sz w:val="20"/>
        </w:rPr>
      </w:pPr>
      <w:r>
        <w:rPr>
          <w:sz w:val="20"/>
        </w:rPr>
        <w:t>2 ml n</w:t>
      </w:r>
      <w:r w:rsidR="00476DA6">
        <w:rPr>
          <w:sz w:val="20"/>
        </w:rPr>
        <w:t>aked mRNA and mRNA-</w:t>
      </w:r>
      <w:r w:rsidR="00960AE2">
        <w:rPr>
          <w:sz w:val="20"/>
        </w:rPr>
        <w:t>l</w:t>
      </w:r>
      <w:r w:rsidR="00476DA6">
        <w:rPr>
          <w:sz w:val="20"/>
        </w:rPr>
        <w:t xml:space="preserve">ipoplexes were pipetted into three different tubes: a </w:t>
      </w:r>
      <w:r>
        <w:rPr>
          <w:sz w:val="20"/>
        </w:rPr>
        <w:t>s</w:t>
      </w:r>
      <w:r w:rsidR="00476DA6">
        <w:rPr>
          <w:sz w:val="20"/>
        </w:rPr>
        <w:t xml:space="preserve">ilicone tube, the </w:t>
      </w:r>
      <w:proofErr w:type="spellStart"/>
      <w:r w:rsidR="00476DA6">
        <w:rPr>
          <w:sz w:val="20"/>
        </w:rPr>
        <w:t>Tygon</w:t>
      </w:r>
      <w:proofErr w:type="spellEnd"/>
      <w:r w:rsidR="00476DA6">
        <w:rPr>
          <w:sz w:val="20"/>
        </w:rPr>
        <w:t>® 2375 NSF-51</w:t>
      </w:r>
      <w:r>
        <w:rPr>
          <w:sz w:val="20"/>
        </w:rPr>
        <w:t xml:space="preserve">, made of thermoplastic </w:t>
      </w:r>
      <w:r w:rsidR="008A3FB2">
        <w:rPr>
          <w:sz w:val="20"/>
        </w:rPr>
        <w:t>polyolefins</w:t>
      </w:r>
      <w:r w:rsidR="00476DA6">
        <w:rPr>
          <w:sz w:val="20"/>
        </w:rPr>
        <w:t xml:space="preserve"> and the </w:t>
      </w:r>
      <w:proofErr w:type="spellStart"/>
      <w:r w:rsidR="00476DA6">
        <w:rPr>
          <w:sz w:val="20"/>
        </w:rPr>
        <w:t>Tygon</w:t>
      </w:r>
      <w:proofErr w:type="spellEnd"/>
      <w:r w:rsidR="00476DA6">
        <w:rPr>
          <w:sz w:val="20"/>
        </w:rPr>
        <w:t>® F-4040-A</w:t>
      </w:r>
      <w:r>
        <w:rPr>
          <w:sz w:val="20"/>
        </w:rPr>
        <w:t>, made of thermoplastic elastomers</w:t>
      </w:r>
      <w:r w:rsidR="00476DA6">
        <w:rPr>
          <w:sz w:val="20"/>
        </w:rPr>
        <w:t xml:space="preserve">. The samples were collected with a micro reaction tube positioned underneath the nozzle. The tubes were rinsed with RNase-free water </w:t>
      </w:r>
      <w:r w:rsidR="008B5A87">
        <w:rPr>
          <w:sz w:val="20"/>
        </w:rPr>
        <w:t>prior to and in between</w:t>
      </w:r>
      <w:r w:rsidR="00476DA6">
        <w:rPr>
          <w:sz w:val="20"/>
        </w:rPr>
        <w:t xml:space="preserve"> contact with the samples. The first sample given into each tube was naked mRNA, followed by mRNA-</w:t>
      </w:r>
      <w:r w:rsidR="00960AE2">
        <w:rPr>
          <w:sz w:val="20"/>
        </w:rPr>
        <w:t>l</w:t>
      </w:r>
      <w:r w:rsidR="00476DA6">
        <w:rPr>
          <w:sz w:val="20"/>
        </w:rPr>
        <w:t>ipoplexes.</w:t>
      </w:r>
    </w:p>
    <w:p w14:paraId="031C2C44" w14:textId="77777777" w:rsidR="00C4032A" w:rsidRPr="00AE7D6E" w:rsidRDefault="00C4032A" w:rsidP="00960AE2">
      <w:pPr>
        <w:pStyle w:val="DDLBodyText"/>
        <w:spacing w:after="0"/>
        <w:rPr>
          <w:sz w:val="20"/>
          <w:u w:val="single"/>
        </w:rPr>
      </w:pPr>
      <w:r w:rsidRPr="00AE7D6E">
        <w:rPr>
          <w:sz w:val="20"/>
          <w:u w:val="single"/>
        </w:rPr>
        <w:t xml:space="preserve">Cell culture </w:t>
      </w:r>
    </w:p>
    <w:p w14:paraId="6ADAD3E3" w14:textId="2068EF2D" w:rsidR="00B13E9B" w:rsidRPr="00C900EF" w:rsidRDefault="00C4032A" w:rsidP="00B13E9B">
      <w:pPr>
        <w:pStyle w:val="DDLBodyText"/>
        <w:rPr>
          <w:sz w:val="20"/>
        </w:rPr>
      </w:pPr>
      <w:r>
        <w:rPr>
          <w:sz w:val="20"/>
        </w:rPr>
        <w:t>Calu-3 cells (HTB-55) (ATCC, Manassas, USA) were used a</w:t>
      </w:r>
      <w:r w:rsidRPr="00C4032A">
        <w:rPr>
          <w:sz w:val="20"/>
        </w:rPr>
        <w:t xml:space="preserve">s model cell line </w:t>
      </w:r>
      <w:r>
        <w:rPr>
          <w:sz w:val="20"/>
        </w:rPr>
        <w:t xml:space="preserve">and </w:t>
      </w:r>
      <w:r w:rsidRPr="00C4032A">
        <w:rPr>
          <w:sz w:val="20"/>
        </w:rPr>
        <w:t>cultured in a humidified atmosphere containing 5</w:t>
      </w:r>
      <w:r w:rsidR="00690B49">
        <w:rPr>
          <w:sz w:val="20"/>
        </w:rPr>
        <w:t> </w:t>
      </w:r>
      <w:r w:rsidRPr="00C4032A">
        <w:rPr>
          <w:sz w:val="20"/>
        </w:rPr>
        <w:t>% CO</w:t>
      </w:r>
      <w:r w:rsidRPr="00690B49">
        <w:rPr>
          <w:sz w:val="20"/>
          <w:vertAlign w:val="subscript"/>
        </w:rPr>
        <w:t>2</w:t>
      </w:r>
      <w:r w:rsidRPr="00C4032A">
        <w:rPr>
          <w:sz w:val="20"/>
        </w:rPr>
        <w:t xml:space="preserve"> at 37</w:t>
      </w:r>
      <w:r w:rsidR="00690B49">
        <w:rPr>
          <w:sz w:val="20"/>
        </w:rPr>
        <w:t> </w:t>
      </w:r>
      <w:r w:rsidRPr="00C4032A">
        <w:rPr>
          <w:sz w:val="20"/>
        </w:rPr>
        <w:t xml:space="preserve">°C in </w:t>
      </w:r>
      <w:r>
        <w:rPr>
          <w:sz w:val="20"/>
        </w:rPr>
        <w:t>Minimum Essential Medium</w:t>
      </w:r>
      <w:r w:rsidRPr="00C4032A">
        <w:rPr>
          <w:sz w:val="20"/>
        </w:rPr>
        <w:t xml:space="preserve"> </w:t>
      </w:r>
      <w:r w:rsidR="00C900EF">
        <w:rPr>
          <w:sz w:val="20"/>
        </w:rPr>
        <w:t>Eagle</w:t>
      </w:r>
      <w:r w:rsidRPr="00C4032A">
        <w:rPr>
          <w:sz w:val="20"/>
        </w:rPr>
        <w:t xml:space="preserve"> </w:t>
      </w:r>
      <w:r w:rsidR="00F27DAA">
        <w:rPr>
          <w:sz w:val="20"/>
        </w:rPr>
        <w:t>comprising 1 % </w:t>
      </w:r>
      <w:r w:rsidRPr="00C4032A">
        <w:rPr>
          <w:sz w:val="20"/>
        </w:rPr>
        <w:t>(v/v) Pen-Strep, 1</w:t>
      </w:r>
      <w:r w:rsidR="00F27DAA">
        <w:rPr>
          <w:sz w:val="20"/>
        </w:rPr>
        <w:t> </w:t>
      </w:r>
      <w:r w:rsidRPr="00C4032A">
        <w:rPr>
          <w:sz w:val="20"/>
        </w:rPr>
        <w:t>%</w:t>
      </w:r>
      <w:r w:rsidR="00F27DAA">
        <w:rPr>
          <w:sz w:val="20"/>
        </w:rPr>
        <w:t> </w:t>
      </w:r>
      <w:r w:rsidRPr="00C4032A">
        <w:rPr>
          <w:sz w:val="20"/>
        </w:rPr>
        <w:t xml:space="preserve">(v/v) </w:t>
      </w:r>
      <w:r w:rsidR="00CB3B32">
        <w:rPr>
          <w:sz w:val="20"/>
        </w:rPr>
        <w:t>non-essential amino acids</w:t>
      </w:r>
      <w:r w:rsidRPr="00C4032A">
        <w:rPr>
          <w:sz w:val="20"/>
        </w:rPr>
        <w:t>, 1</w:t>
      </w:r>
      <w:r w:rsidR="00F27DAA">
        <w:rPr>
          <w:sz w:val="20"/>
        </w:rPr>
        <w:t> </w:t>
      </w:r>
      <w:r w:rsidRPr="00C4032A">
        <w:rPr>
          <w:sz w:val="20"/>
        </w:rPr>
        <w:t>%</w:t>
      </w:r>
      <w:r w:rsidR="00F27DAA">
        <w:rPr>
          <w:sz w:val="20"/>
        </w:rPr>
        <w:t> </w:t>
      </w:r>
      <w:r w:rsidRPr="00C4032A">
        <w:rPr>
          <w:sz w:val="20"/>
        </w:rPr>
        <w:t>(v/v) sodium pyruvate and 10</w:t>
      </w:r>
      <w:r w:rsidR="00690B49">
        <w:rPr>
          <w:sz w:val="20"/>
        </w:rPr>
        <w:t> </w:t>
      </w:r>
      <w:r w:rsidRPr="00C4032A">
        <w:rPr>
          <w:sz w:val="20"/>
        </w:rPr>
        <w:t>%</w:t>
      </w:r>
      <w:r w:rsidR="00F27DAA">
        <w:rPr>
          <w:sz w:val="20"/>
        </w:rPr>
        <w:t> </w:t>
      </w:r>
      <w:r w:rsidRPr="00C4032A">
        <w:rPr>
          <w:sz w:val="20"/>
        </w:rPr>
        <w:t xml:space="preserve">(v/v) </w:t>
      </w:r>
      <w:proofErr w:type="spellStart"/>
      <w:r w:rsidRPr="00C4032A">
        <w:rPr>
          <w:sz w:val="20"/>
        </w:rPr>
        <w:t>Fetal</w:t>
      </w:r>
      <w:proofErr w:type="spellEnd"/>
      <w:r w:rsidRPr="00C4032A">
        <w:rPr>
          <w:sz w:val="20"/>
        </w:rPr>
        <w:t xml:space="preserve"> Bovine Serum</w:t>
      </w:r>
      <w:r w:rsidR="00864F3E">
        <w:rPr>
          <w:sz w:val="20"/>
        </w:rPr>
        <w:t xml:space="preserve"> (FBS)</w:t>
      </w:r>
      <w:r w:rsidRPr="00C4032A">
        <w:rPr>
          <w:sz w:val="20"/>
        </w:rPr>
        <w:t xml:space="preserve"> (all Merck </w:t>
      </w:r>
      <w:proofErr w:type="spellStart"/>
      <w:r w:rsidRPr="00C4032A">
        <w:rPr>
          <w:sz w:val="20"/>
        </w:rPr>
        <w:t>KGaA</w:t>
      </w:r>
      <w:proofErr w:type="spellEnd"/>
      <w:r w:rsidRPr="00C4032A">
        <w:rPr>
          <w:sz w:val="20"/>
        </w:rPr>
        <w:t>, Darmstadt, Germany).</w:t>
      </w:r>
      <w:r w:rsidR="00D430D0">
        <w:rPr>
          <w:sz w:val="20"/>
        </w:rPr>
        <w:t xml:space="preserve"> The cells were seeded on a 24-well-plate with 80,000 cells per well an</w:t>
      </w:r>
      <w:r w:rsidR="00C900EF">
        <w:rPr>
          <w:sz w:val="20"/>
        </w:rPr>
        <w:t>d</w:t>
      </w:r>
      <w:r w:rsidR="00D430D0">
        <w:rPr>
          <w:sz w:val="20"/>
        </w:rPr>
        <w:t xml:space="preserve"> incubated for 24</w:t>
      </w:r>
      <w:r w:rsidR="00467D22">
        <w:rPr>
          <w:sz w:val="20"/>
        </w:rPr>
        <w:t> </w:t>
      </w:r>
      <w:r w:rsidR="00D430D0">
        <w:rPr>
          <w:sz w:val="20"/>
        </w:rPr>
        <w:t>h</w:t>
      </w:r>
      <w:r w:rsidR="00163258">
        <w:rPr>
          <w:sz w:val="20"/>
        </w:rPr>
        <w:t xml:space="preserve">. </w:t>
      </w:r>
      <w:r w:rsidR="00EF3B84">
        <w:rPr>
          <w:sz w:val="20"/>
        </w:rPr>
        <w:t>Before</w:t>
      </w:r>
      <w:r w:rsidR="00163258">
        <w:rPr>
          <w:sz w:val="20"/>
        </w:rPr>
        <w:t xml:space="preserve"> transfection</w:t>
      </w:r>
      <w:r w:rsidR="002773DB">
        <w:rPr>
          <w:sz w:val="20"/>
        </w:rPr>
        <w:t>,</w:t>
      </w:r>
      <w:r w:rsidR="00163258">
        <w:rPr>
          <w:sz w:val="20"/>
        </w:rPr>
        <w:t xml:space="preserve"> the medi</w:t>
      </w:r>
      <w:r w:rsidR="004A462F">
        <w:rPr>
          <w:sz w:val="20"/>
        </w:rPr>
        <w:t>um</w:t>
      </w:r>
      <w:r w:rsidR="00163258">
        <w:rPr>
          <w:sz w:val="20"/>
        </w:rPr>
        <w:t xml:space="preserve"> above the cells was replaced by</w:t>
      </w:r>
      <w:r w:rsidR="00864F3E">
        <w:rPr>
          <w:sz w:val="20"/>
        </w:rPr>
        <w:t xml:space="preserve"> medi</w:t>
      </w:r>
      <w:r w:rsidR="004A462F">
        <w:rPr>
          <w:sz w:val="20"/>
        </w:rPr>
        <w:t>um</w:t>
      </w:r>
      <w:r w:rsidR="00864F3E">
        <w:rPr>
          <w:sz w:val="20"/>
        </w:rPr>
        <w:t xml:space="preserve"> containing only 0</w:t>
      </w:r>
      <w:r w:rsidR="007A5E50">
        <w:rPr>
          <w:sz w:val="20"/>
        </w:rPr>
        <w:t>.</w:t>
      </w:r>
      <w:r w:rsidR="00864F3E">
        <w:rPr>
          <w:sz w:val="20"/>
        </w:rPr>
        <w:t>2 % FBS.</w:t>
      </w:r>
      <w:r w:rsidR="00C900EF">
        <w:rPr>
          <w:sz w:val="20"/>
        </w:rPr>
        <w:t xml:space="preserve"> In every well 50 µl sample containing</w:t>
      </w:r>
      <w:r w:rsidR="00B13E9B">
        <w:rPr>
          <w:sz w:val="20"/>
        </w:rPr>
        <w:t xml:space="preserve"> </w:t>
      </w:r>
      <w:r w:rsidR="00C900EF">
        <w:rPr>
          <w:sz w:val="20"/>
        </w:rPr>
        <w:t>5</w:t>
      </w:r>
      <w:r w:rsidR="00B13E9B">
        <w:rPr>
          <w:sz w:val="20"/>
        </w:rPr>
        <w:t xml:space="preserve">0 ng mRNA </w:t>
      </w:r>
      <w:r w:rsidR="002773DB">
        <w:rPr>
          <w:sz w:val="20"/>
        </w:rPr>
        <w:t>was</w:t>
      </w:r>
      <w:r w:rsidR="00C900EF">
        <w:rPr>
          <w:sz w:val="20"/>
        </w:rPr>
        <w:t xml:space="preserve"> transfected.</w:t>
      </w:r>
    </w:p>
    <w:p w14:paraId="67FFAB98" w14:textId="77777777" w:rsidR="00D430D0" w:rsidRPr="00D430D0" w:rsidRDefault="00D430D0" w:rsidP="00960AE2">
      <w:pPr>
        <w:pStyle w:val="DDLBodyText"/>
        <w:spacing w:after="0"/>
        <w:rPr>
          <w:sz w:val="20"/>
          <w:u w:val="single"/>
        </w:rPr>
      </w:pPr>
      <w:r w:rsidRPr="00D430D0">
        <w:rPr>
          <w:sz w:val="20"/>
          <w:u w:val="single"/>
        </w:rPr>
        <w:t>Bioluminescence assay</w:t>
      </w:r>
    </w:p>
    <w:p w14:paraId="5666C800" w14:textId="3B04E809" w:rsidR="00D430D0" w:rsidRPr="00D430D0" w:rsidRDefault="00467D22" w:rsidP="00D430D0">
      <w:pPr>
        <w:pStyle w:val="DDLBodyText"/>
        <w:rPr>
          <w:sz w:val="20"/>
          <w:lang w:val="en-US"/>
        </w:rPr>
      </w:pPr>
      <w:r>
        <w:rPr>
          <w:sz w:val="20"/>
          <w:lang w:val="en-US"/>
        </w:rPr>
        <w:t>The</w:t>
      </w:r>
      <w:r w:rsidR="00D430D0" w:rsidRPr="00D430D0">
        <w:rPr>
          <w:sz w:val="20"/>
          <w:lang w:val="en-US"/>
        </w:rPr>
        <w:t xml:space="preserve"> medi</w:t>
      </w:r>
      <w:r w:rsidR="004A462F">
        <w:rPr>
          <w:sz w:val="20"/>
          <w:lang w:val="en-US"/>
        </w:rPr>
        <w:t>um</w:t>
      </w:r>
      <w:r w:rsidR="00D430D0" w:rsidRPr="00D430D0">
        <w:rPr>
          <w:sz w:val="20"/>
          <w:lang w:val="en-US"/>
        </w:rPr>
        <w:t xml:space="preserve"> was </w:t>
      </w:r>
      <w:r w:rsidR="0014317B">
        <w:rPr>
          <w:sz w:val="20"/>
          <w:lang w:val="en-US"/>
        </w:rPr>
        <w:t xml:space="preserve">removed and the cells were washed with </w:t>
      </w:r>
      <w:r>
        <w:rPr>
          <w:sz w:val="20"/>
          <w:lang w:val="en-US"/>
        </w:rPr>
        <w:t>2</w:t>
      </w:r>
      <w:r w:rsidR="00D430D0" w:rsidRPr="00D430D0">
        <w:rPr>
          <w:sz w:val="20"/>
          <w:lang w:val="en-US"/>
        </w:rPr>
        <w:t xml:space="preserve">50 µl </w:t>
      </w:r>
      <w:r w:rsidR="00E23F0B">
        <w:rPr>
          <w:sz w:val="20"/>
          <w:lang w:val="en-US"/>
        </w:rPr>
        <w:t>D</w:t>
      </w:r>
      <w:r w:rsidR="00864F3E">
        <w:rPr>
          <w:sz w:val="20"/>
          <w:lang w:val="en-US"/>
        </w:rPr>
        <w:t>PBS (</w:t>
      </w:r>
      <w:r w:rsidR="00E23F0B" w:rsidRPr="00C4032A">
        <w:rPr>
          <w:sz w:val="20"/>
        </w:rPr>
        <w:t xml:space="preserve">Merck </w:t>
      </w:r>
      <w:proofErr w:type="spellStart"/>
      <w:r w:rsidR="00E23F0B" w:rsidRPr="00C4032A">
        <w:rPr>
          <w:sz w:val="20"/>
        </w:rPr>
        <w:t>KGaA</w:t>
      </w:r>
      <w:proofErr w:type="spellEnd"/>
      <w:r w:rsidR="00E23F0B" w:rsidRPr="00C4032A">
        <w:rPr>
          <w:sz w:val="20"/>
        </w:rPr>
        <w:t>, Darmstadt, Germany</w:t>
      </w:r>
      <w:r w:rsidR="00E23F0B">
        <w:rPr>
          <w:sz w:val="20"/>
          <w:lang w:val="en-US"/>
        </w:rPr>
        <w:t>)</w:t>
      </w:r>
      <w:r w:rsidR="009C44B9">
        <w:rPr>
          <w:sz w:val="20"/>
          <w:lang w:val="en-US"/>
        </w:rPr>
        <w:t xml:space="preserve"> and 2</w:t>
      </w:r>
      <w:r w:rsidR="009C44B9" w:rsidRPr="00D430D0">
        <w:rPr>
          <w:sz w:val="20"/>
          <w:lang w:val="en-US"/>
        </w:rPr>
        <w:t>50 µl</w:t>
      </w:r>
      <w:r w:rsidR="009C44B9">
        <w:rPr>
          <w:sz w:val="20"/>
          <w:lang w:val="en-US"/>
        </w:rPr>
        <w:t xml:space="preserve"> o</w:t>
      </w:r>
      <w:r w:rsidR="0014317B">
        <w:rPr>
          <w:sz w:val="20"/>
          <w:lang w:val="en-US"/>
        </w:rPr>
        <w:t xml:space="preserve">f </w:t>
      </w:r>
      <w:r w:rsidR="00D430D0" w:rsidRPr="00D430D0">
        <w:rPr>
          <w:sz w:val="20"/>
          <w:lang w:val="en-US"/>
        </w:rPr>
        <w:t>1.5 X lysis buffer (</w:t>
      </w:r>
      <w:proofErr w:type="spellStart"/>
      <w:r w:rsidR="00D430D0" w:rsidRPr="00D430D0">
        <w:rPr>
          <w:sz w:val="20"/>
          <w:lang w:val="en-US"/>
        </w:rPr>
        <w:t>Biotium</w:t>
      </w:r>
      <w:proofErr w:type="spellEnd"/>
      <w:r w:rsidR="00D430D0" w:rsidRPr="00D430D0">
        <w:rPr>
          <w:sz w:val="20"/>
          <w:lang w:val="en-US"/>
        </w:rPr>
        <w:t xml:space="preserve">, Fremont, </w:t>
      </w:r>
      <w:r w:rsidR="00A577BE">
        <w:rPr>
          <w:sz w:val="20"/>
          <w:lang w:val="en-US"/>
        </w:rPr>
        <w:t xml:space="preserve">CA, </w:t>
      </w:r>
      <w:r w:rsidR="00D430D0" w:rsidRPr="00D430D0">
        <w:rPr>
          <w:sz w:val="20"/>
          <w:lang w:val="en-US"/>
        </w:rPr>
        <w:t xml:space="preserve">USA) </w:t>
      </w:r>
      <w:r w:rsidR="00E23F0B">
        <w:rPr>
          <w:sz w:val="20"/>
          <w:lang w:val="en-US"/>
        </w:rPr>
        <w:t>were added</w:t>
      </w:r>
      <w:r w:rsidR="0014317B">
        <w:rPr>
          <w:sz w:val="20"/>
          <w:lang w:val="en-US"/>
        </w:rPr>
        <w:t xml:space="preserve"> to each well</w:t>
      </w:r>
      <w:r w:rsidR="00E23F0B">
        <w:rPr>
          <w:sz w:val="20"/>
          <w:lang w:val="en-US"/>
        </w:rPr>
        <w:t>. Th</w:t>
      </w:r>
      <w:r w:rsidR="00D430D0" w:rsidRPr="00D430D0">
        <w:rPr>
          <w:sz w:val="20"/>
          <w:lang w:val="en-US"/>
        </w:rPr>
        <w:t xml:space="preserve">e plate was shaken for </w:t>
      </w:r>
      <w:r w:rsidR="00E23F0B">
        <w:rPr>
          <w:sz w:val="20"/>
          <w:lang w:val="en-US"/>
        </w:rPr>
        <w:t>15</w:t>
      </w:r>
      <w:r w:rsidR="00D430D0" w:rsidRPr="00D430D0">
        <w:rPr>
          <w:sz w:val="20"/>
          <w:lang w:val="en-US"/>
        </w:rPr>
        <w:t> min</w:t>
      </w:r>
      <w:r w:rsidR="00E23F0B">
        <w:rPr>
          <w:sz w:val="20"/>
          <w:lang w:val="en-US"/>
        </w:rPr>
        <w:t>, incubated for 15</w:t>
      </w:r>
      <w:r w:rsidR="009C44B9">
        <w:rPr>
          <w:sz w:val="20"/>
          <w:lang w:val="en-US"/>
        </w:rPr>
        <w:t> </w:t>
      </w:r>
      <w:r w:rsidR="00E23F0B">
        <w:rPr>
          <w:sz w:val="20"/>
          <w:lang w:val="en-US"/>
        </w:rPr>
        <w:t>min at culturing conditions and then shaken again for 15</w:t>
      </w:r>
      <w:r w:rsidR="009C44B9">
        <w:rPr>
          <w:sz w:val="20"/>
          <w:lang w:val="en-US"/>
        </w:rPr>
        <w:t> </w:t>
      </w:r>
      <w:r w:rsidR="00E23F0B">
        <w:rPr>
          <w:sz w:val="20"/>
          <w:lang w:val="en-US"/>
        </w:rPr>
        <w:t>min</w:t>
      </w:r>
      <w:r w:rsidR="00D430D0" w:rsidRPr="00D430D0">
        <w:rPr>
          <w:sz w:val="20"/>
          <w:lang w:val="en-US"/>
        </w:rPr>
        <w:t xml:space="preserve">. </w:t>
      </w:r>
      <w:r>
        <w:rPr>
          <w:sz w:val="20"/>
          <w:lang w:val="en-US"/>
        </w:rPr>
        <w:t>Afterwards</w:t>
      </w:r>
      <w:r w:rsidR="002773DB">
        <w:rPr>
          <w:sz w:val="20"/>
          <w:lang w:val="en-US"/>
        </w:rPr>
        <w:t>,</w:t>
      </w:r>
      <w:r>
        <w:rPr>
          <w:sz w:val="20"/>
          <w:lang w:val="en-US"/>
        </w:rPr>
        <w:t xml:space="preserve"> </w:t>
      </w:r>
      <w:r w:rsidR="00D430D0" w:rsidRPr="00D430D0">
        <w:rPr>
          <w:sz w:val="20"/>
          <w:lang w:val="en-US"/>
        </w:rPr>
        <w:t xml:space="preserve">Luciferase </w:t>
      </w:r>
      <w:r w:rsidR="0014317B">
        <w:rPr>
          <w:sz w:val="20"/>
          <w:lang w:val="en-US"/>
        </w:rPr>
        <w:t>activity</w:t>
      </w:r>
      <w:r w:rsidR="0014317B" w:rsidRPr="00D430D0">
        <w:rPr>
          <w:sz w:val="20"/>
          <w:lang w:val="en-US"/>
        </w:rPr>
        <w:t xml:space="preserve"> </w:t>
      </w:r>
      <w:r w:rsidR="00D430D0" w:rsidRPr="00D430D0">
        <w:rPr>
          <w:sz w:val="20"/>
          <w:lang w:val="en-US"/>
        </w:rPr>
        <w:t xml:space="preserve">was </w:t>
      </w:r>
      <w:r>
        <w:rPr>
          <w:sz w:val="20"/>
          <w:lang w:val="en-US"/>
        </w:rPr>
        <w:t xml:space="preserve">measured using </w:t>
      </w:r>
      <w:proofErr w:type="spellStart"/>
      <w:r w:rsidR="00D430D0" w:rsidRPr="00D430D0">
        <w:rPr>
          <w:sz w:val="20"/>
          <w:lang w:val="en-US"/>
        </w:rPr>
        <w:t>BrightGlo</w:t>
      </w:r>
      <w:r w:rsidR="00D430D0" w:rsidRPr="00D430D0">
        <w:rPr>
          <w:sz w:val="20"/>
          <w:vertAlign w:val="superscript"/>
          <w:lang w:val="en-US"/>
        </w:rPr>
        <w:t>TM</w:t>
      </w:r>
      <w:proofErr w:type="spellEnd"/>
      <w:r w:rsidR="00D430D0" w:rsidRPr="00D430D0">
        <w:rPr>
          <w:sz w:val="20"/>
          <w:lang w:val="en-US"/>
        </w:rPr>
        <w:t xml:space="preserve"> (Promega, Fitchburg, USA) according to the manufacturer’s prot</w:t>
      </w:r>
      <w:r>
        <w:rPr>
          <w:sz w:val="20"/>
          <w:lang w:val="en-US"/>
        </w:rPr>
        <w:t xml:space="preserve">ocol in a white </w:t>
      </w:r>
      <w:r w:rsidR="002773DB">
        <w:rPr>
          <w:sz w:val="20"/>
          <w:lang w:val="en-US"/>
        </w:rPr>
        <w:t>half-well</w:t>
      </w:r>
      <w:r>
        <w:rPr>
          <w:sz w:val="20"/>
          <w:lang w:val="en-US"/>
        </w:rPr>
        <w:t xml:space="preserve"> plate </w:t>
      </w:r>
      <w:r w:rsidR="0014317B">
        <w:rPr>
          <w:sz w:val="20"/>
          <w:lang w:val="en-US"/>
        </w:rPr>
        <w:t xml:space="preserve">with </w:t>
      </w:r>
      <w:r w:rsidR="00D430D0" w:rsidRPr="00D430D0">
        <w:rPr>
          <w:sz w:val="20"/>
          <w:lang w:val="en-US"/>
        </w:rPr>
        <w:t>a Tecan Spark</w:t>
      </w:r>
      <w:r w:rsidR="00C900EF">
        <w:rPr>
          <w:sz w:val="20"/>
          <w:lang w:val="en-US"/>
        </w:rPr>
        <w:t>®</w:t>
      </w:r>
      <w:r w:rsidR="00D430D0" w:rsidRPr="00D430D0">
        <w:rPr>
          <w:sz w:val="20"/>
          <w:lang w:val="en-US"/>
        </w:rPr>
        <w:t xml:space="preserve"> plate reader</w:t>
      </w:r>
      <w:r w:rsidR="006E37F2">
        <w:rPr>
          <w:sz w:val="20"/>
          <w:lang w:val="en-US"/>
        </w:rPr>
        <w:t xml:space="preserve"> (Tecan Group Ltd., Zürich, Switzerland)</w:t>
      </w:r>
      <w:r w:rsidR="00D430D0" w:rsidRPr="00D430D0">
        <w:rPr>
          <w:sz w:val="20"/>
          <w:lang w:val="en-US"/>
        </w:rPr>
        <w:t>.</w:t>
      </w:r>
    </w:p>
    <w:p w14:paraId="4013836A" w14:textId="77777777" w:rsidR="00467D22" w:rsidRPr="00D430D0" w:rsidRDefault="00467D22" w:rsidP="00960AE2">
      <w:pPr>
        <w:pStyle w:val="DDLBodyText"/>
        <w:spacing w:after="0"/>
        <w:rPr>
          <w:sz w:val="20"/>
          <w:u w:val="single"/>
        </w:rPr>
      </w:pPr>
      <w:r w:rsidRPr="00D430D0">
        <w:rPr>
          <w:sz w:val="20"/>
          <w:u w:val="single"/>
        </w:rPr>
        <w:lastRenderedPageBreak/>
        <w:t>B</w:t>
      </w:r>
      <w:r>
        <w:rPr>
          <w:sz w:val="20"/>
          <w:u w:val="single"/>
        </w:rPr>
        <w:t>radford Assay</w:t>
      </w:r>
    </w:p>
    <w:p w14:paraId="47A54410" w14:textId="77777777" w:rsidR="00D430D0" w:rsidRPr="00467D22" w:rsidRDefault="00467D22" w:rsidP="009204DA">
      <w:pPr>
        <w:pStyle w:val="DDLBodyText"/>
        <w:spacing w:after="0"/>
        <w:rPr>
          <w:sz w:val="20"/>
          <w:lang w:val="en-US"/>
        </w:rPr>
      </w:pPr>
      <w:r>
        <w:rPr>
          <w:sz w:val="20"/>
          <w:lang w:val="en-US"/>
        </w:rPr>
        <w:t>After transferring 30 µl of the lysate into a transparent 96-well-plate, 270 µl Bradford Reagent (</w:t>
      </w:r>
      <w:proofErr w:type="spellStart"/>
      <w:r>
        <w:rPr>
          <w:sz w:val="20"/>
          <w:lang w:val="en-US"/>
        </w:rPr>
        <w:t>Pier</w:t>
      </w:r>
      <w:r w:rsidR="008D58BA">
        <w:rPr>
          <w:sz w:val="20"/>
          <w:lang w:val="en-US"/>
        </w:rPr>
        <w:t>c</w:t>
      </w:r>
      <w:r>
        <w:rPr>
          <w:sz w:val="20"/>
          <w:lang w:val="en-US"/>
        </w:rPr>
        <w:t>e</w:t>
      </w:r>
      <w:r>
        <w:rPr>
          <w:sz w:val="20"/>
          <w:vertAlign w:val="superscript"/>
          <w:lang w:val="en-US"/>
        </w:rPr>
        <w:t>TM</w:t>
      </w:r>
      <w:proofErr w:type="spellEnd"/>
      <w:r>
        <w:rPr>
          <w:sz w:val="20"/>
          <w:lang w:val="en-US"/>
        </w:rPr>
        <w:t xml:space="preserve"> Coomassie (Bradford) Protein-Assay-Kit, </w:t>
      </w:r>
      <w:proofErr w:type="spellStart"/>
      <w:r>
        <w:rPr>
          <w:sz w:val="20"/>
          <w:lang w:val="en-US"/>
        </w:rPr>
        <w:t>Thermo</w:t>
      </w:r>
      <w:proofErr w:type="spellEnd"/>
      <w:r>
        <w:rPr>
          <w:sz w:val="20"/>
          <w:lang w:val="en-US"/>
        </w:rPr>
        <w:t xml:space="preserve"> Scientific, Waltham, USA) </w:t>
      </w:r>
      <w:r w:rsidR="00FD22BE">
        <w:rPr>
          <w:sz w:val="20"/>
          <w:lang w:val="en-US"/>
        </w:rPr>
        <w:t xml:space="preserve">were </w:t>
      </w:r>
      <w:r>
        <w:rPr>
          <w:sz w:val="20"/>
          <w:lang w:val="en-US"/>
        </w:rPr>
        <w:t xml:space="preserve">added and incubated for 10 minutes. A dilution series of Bovine Serum Albumin (same </w:t>
      </w:r>
      <w:r w:rsidR="00122F8B">
        <w:rPr>
          <w:sz w:val="20"/>
          <w:lang w:val="en-US"/>
        </w:rPr>
        <w:t>k</w:t>
      </w:r>
      <w:r>
        <w:rPr>
          <w:sz w:val="20"/>
          <w:lang w:val="en-US"/>
        </w:rPr>
        <w:t xml:space="preserve">it) in 1,5 X lysis buffer served as calibration. </w:t>
      </w:r>
    </w:p>
    <w:p w14:paraId="2A30E963" w14:textId="77777777" w:rsidR="002B55E6" w:rsidRPr="002B55E6" w:rsidRDefault="001B2389" w:rsidP="009204DA">
      <w:pPr>
        <w:pStyle w:val="DDLHeading1"/>
        <w:spacing w:before="180" w:after="0"/>
        <w:rPr>
          <w:sz w:val="20"/>
          <w:szCs w:val="20"/>
        </w:rPr>
      </w:pPr>
      <w:r>
        <w:rPr>
          <w:sz w:val="20"/>
          <w:szCs w:val="20"/>
        </w:rPr>
        <w:t>Results and Discussion</w:t>
      </w:r>
    </w:p>
    <w:p w14:paraId="3176510F" w14:textId="6A06CDC1" w:rsidR="008B5A87" w:rsidRDefault="00344692" w:rsidP="0016236A">
      <w:pPr>
        <w:spacing w:after="0"/>
        <w:rPr>
          <w:sz w:val="20"/>
        </w:rPr>
      </w:pPr>
      <w:r>
        <w:rPr>
          <w:sz w:val="20"/>
        </w:rPr>
        <w:t>As the first step, after finding the</w:t>
      </w:r>
      <w:r w:rsidR="00CD6ACD">
        <w:rPr>
          <w:sz w:val="20"/>
        </w:rPr>
        <w:t xml:space="preserve"> best working weight ratio of mRNA and DOTAP:DOPE, we accessed the compatibility of mannitol and lactose, two excipients with </w:t>
      </w:r>
      <w:r w:rsidR="009F3420">
        <w:rPr>
          <w:sz w:val="20"/>
        </w:rPr>
        <w:t xml:space="preserve">established </w:t>
      </w:r>
      <w:r w:rsidR="00CD6ACD">
        <w:rPr>
          <w:sz w:val="20"/>
        </w:rPr>
        <w:t>use in inhalation, with the mRNA-lipoplexes. We found that both excipients do not have a negative influence on transfection efficiency</w:t>
      </w:r>
      <w:r w:rsidR="00DC73F1">
        <w:rPr>
          <w:sz w:val="20"/>
        </w:rPr>
        <w:t xml:space="preserve"> </w:t>
      </w:r>
      <w:r w:rsidR="00DC73F1" w:rsidRPr="00DC73F1">
        <w:rPr>
          <w:sz w:val="20"/>
        </w:rPr>
        <w:t>(</w:t>
      </w:r>
      <w:r w:rsidR="00DC73F1" w:rsidRPr="00DC73F1">
        <w:rPr>
          <w:sz w:val="20"/>
        </w:rPr>
        <w:fldChar w:fldCharType="begin"/>
      </w:r>
      <w:r w:rsidR="00DC73F1" w:rsidRPr="00DC73F1">
        <w:rPr>
          <w:sz w:val="20"/>
        </w:rPr>
        <w:instrText xml:space="preserve"> REF _Ref108628969 \h </w:instrText>
      </w:r>
      <w:r w:rsidR="00DC73F1">
        <w:rPr>
          <w:sz w:val="20"/>
        </w:rPr>
        <w:instrText xml:space="preserve"> \* MERGEFORMAT </w:instrText>
      </w:r>
      <w:r w:rsidR="00DC73F1" w:rsidRPr="00DC73F1">
        <w:rPr>
          <w:sz w:val="20"/>
        </w:rPr>
      </w:r>
      <w:r w:rsidR="00DC73F1" w:rsidRPr="00DC73F1">
        <w:rPr>
          <w:sz w:val="20"/>
        </w:rPr>
        <w:fldChar w:fldCharType="separate"/>
      </w:r>
      <w:r w:rsidR="00257899" w:rsidRPr="00257899">
        <w:rPr>
          <w:sz w:val="20"/>
        </w:rPr>
        <w:t xml:space="preserve">Figure </w:t>
      </w:r>
      <w:r w:rsidR="00257899" w:rsidRPr="00257899">
        <w:rPr>
          <w:noProof/>
          <w:sz w:val="20"/>
        </w:rPr>
        <w:t>1</w:t>
      </w:r>
      <w:r w:rsidR="00DC73F1" w:rsidRPr="00DC73F1">
        <w:rPr>
          <w:sz w:val="20"/>
        </w:rPr>
        <w:fldChar w:fldCharType="end"/>
      </w:r>
      <w:r w:rsidR="00DC73F1" w:rsidRPr="00DC73F1">
        <w:rPr>
          <w:sz w:val="20"/>
        </w:rPr>
        <w:t>)</w:t>
      </w:r>
      <w:r w:rsidR="00CD6ACD" w:rsidRPr="00DC73F1">
        <w:rPr>
          <w:sz w:val="20"/>
        </w:rPr>
        <w:t xml:space="preserve">. Thus, both excipients are suitable components, which </w:t>
      </w:r>
      <w:r w:rsidR="00A577BE">
        <w:rPr>
          <w:sz w:val="20"/>
        </w:rPr>
        <w:t>may</w:t>
      </w:r>
      <w:r w:rsidR="00A577BE" w:rsidRPr="00DC73F1">
        <w:rPr>
          <w:sz w:val="20"/>
        </w:rPr>
        <w:t xml:space="preserve"> </w:t>
      </w:r>
      <w:r w:rsidR="00CD6ACD" w:rsidRPr="00DC73F1">
        <w:rPr>
          <w:sz w:val="20"/>
        </w:rPr>
        <w:t xml:space="preserve">serve as </w:t>
      </w:r>
      <w:r w:rsidR="00DC73F1" w:rsidRPr="00DC73F1">
        <w:rPr>
          <w:sz w:val="20"/>
        </w:rPr>
        <w:t xml:space="preserve">a </w:t>
      </w:r>
      <w:r w:rsidR="00CD6ACD" w:rsidRPr="00DC73F1">
        <w:rPr>
          <w:sz w:val="20"/>
        </w:rPr>
        <w:t xml:space="preserve">matrix </w:t>
      </w:r>
      <w:r w:rsidR="008A3FB2">
        <w:rPr>
          <w:sz w:val="20"/>
        </w:rPr>
        <w:t>for</w:t>
      </w:r>
      <w:r w:rsidR="00CD6ACD" w:rsidRPr="00DC73F1">
        <w:rPr>
          <w:sz w:val="20"/>
        </w:rPr>
        <w:t xml:space="preserve"> the mRNA-</w:t>
      </w:r>
      <w:r w:rsidR="00CD6ACD">
        <w:rPr>
          <w:sz w:val="20"/>
        </w:rPr>
        <w:t xml:space="preserve">lipoplexes. </w:t>
      </w:r>
    </w:p>
    <w:p w14:paraId="23107AFA" w14:textId="00C88E10" w:rsidR="008B5A87" w:rsidRPr="00B74C92" w:rsidRDefault="001F1DA7" w:rsidP="0016236A">
      <w:pPr>
        <w:spacing w:after="0"/>
        <w:rPr>
          <w:sz w:val="20"/>
        </w:rPr>
      </w:pPr>
      <w:r>
        <w:rPr>
          <w:noProof/>
          <w:sz w:val="20"/>
        </w:rPr>
        <mc:AlternateContent>
          <mc:Choice Requires="wps">
            <w:drawing>
              <wp:anchor distT="0" distB="0" distL="114300" distR="114300" simplePos="0" relativeHeight="251661312" behindDoc="0" locked="0" layoutInCell="1" allowOverlap="1" wp14:anchorId="7B1C5AA3" wp14:editId="2ABDF602">
                <wp:simplePos x="0" y="0"/>
                <wp:positionH relativeFrom="column">
                  <wp:posOffset>-109060</wp:posOffset>
                </wp:positionH>
                <wp:positionV relativeFrom="paragraph">
                  <wp:posOffset>2311973</wp:posOffset>
                </wp:positionV>
                <wp:extent cx="2854325" cy="1025801"/>
                <wp:effectExtent l="0" t="0" r="0" b="0"/>
                <wp:wrapSquare wrapText="bothSides"/>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325" cy="1025801"/>
                        </a:xfrm>
                        <a:prstGeom prst="rect">
                          <a:avLst/>
                        </a:prstGeom>
                        <a:noFill/>
                        <a:ln w="9525">
                          <a:noFill/>
                          <a:miter lim="800000"/>
                          <a:headEnd/>
                          <a:tailEnd/>
                        </a:ln>
                      </wps:spPr>
                      <wps:txbx>
                        <w:txbxContent>
                          <w:p w14:paraId="2DB1CD58" w14:textId="2C739A2D" w:rsidR="006D3B24" w:rsidRPr="008B5A87" w:rsidRDefault="006D3B24" w:rsidP="004F1D4F">
                            <w:pPr>
                              <w:pStyle w:val="Caption"/>
                              <w:rPr>
                                <w:sz w:val="18"/>
                                <w:szCs w:val="18"/>
                              </w:rPr>
                            </w:pPr>
                            <w:bookmarkStart w:id="2" w:name="_Ref108628969"/>
                            <w:r w:rsidRPr="008B5A87">
                              <w:rPr>
                                <w:sz w:val="18"/>
                                <w:szCs w:val="18"/>
                              </w:rPr>
                              <w:t xml:space="preserve">Figure </w:t>
                            </w:r>
                            <w:r w:rsidRPr="008B5A87">
                              <w:rPr>
                                <w:sz w:val="18"/>
                                <w:szCs w:val="18"/>
                              </w:rPr>
                              <w:fldChar w:fldCharType="begin"/>
                            </w:r>
                            <w:r w:rsidRPr="008B5A87">
                              <w:rPr>
                                <w:sz w:val="18"/>
                                <w:szCs w:val="18"/>
                              </w:rPr>
                              <w:instrText xml:space="preserve"> SEQ Figure \* ARABIC </w:instrText>
                            </w:r>
                            <w:r w:rsidRPr="008B5A87">
                              <w:rPr>
                                <w:sz w:val="18"/>
                                <w:szCs w:val="18"/>
                              </w:rPr>
                              <w:fldChar w:fldCharType="separate"/>
                            </w:r>
                            <w:r>
                              <w:rPr>
                                <w:noProof/>
                                <w:sz w:val="18"/>
                                <w:szCs w:val="18"/>
                              </w:rPr>
                              <w:t>1</w:t>
                            </w:r>
                            <w:r w:rsidRPr="008B5A87">
                              <w:rPr>
                                <w:sz w:val="18"/>
                                <w:szCs w:val="18"/>
                              </w:rPr>
                              <w:fldChar w:fldCharType="end"/>
                            </w:r>
                            <w:bookmarkEnd w:id="2"/>
                            <w:r w:rsidRPr="008B5A87">
                              <w:rPr>
                                <w:sz w:val="18"/>
                                <w:szCs w:val="18"/>
                              </w:rPr>
                              <w:t xml:space="preserve"> - Transfection efficiency</w:t>
                            </w:r>
                            <w:r>
                              <w:rPr>
                                <w:sz w:val="18"/>
                                <w:szCs w:val="18"/>
                              </w:rPr>
                              <w:t xml:space="preserve"> in presence of excipients:</w:t>
                            </w:r>
                            <w:r w:rsidRPr="008B5A87">
                              <w:rPr>
                                <w:sz w:val="18"/>
                                <w:szCs w:val="18"/>
                              </w:rPr>
                              <w:t xml:space="preserve"> Luminescence in RLU/mg</w:t>
                            </w:r>
                            <w:r>
                              <w:rPr>
                                <w:sz w:val="18"/>
                                <w:szCs w:val="18"/>
                              </w:rPr>
                              <w:t xml:space="preserve"> protein of sample normalised to lipoplexes without addition of excipients. A value of 1 relative unit represents an equal transfection efficiency for the samples containing excipients and the lipoplexes. Error bars show SD n = 9.</w:t>
                            </w:r>
                          </w:p>
                        </w:txbxContent>
                      </wps:txbx>
                      <wps:bodyPr rot="0" vert="horz" wrap="square" lIns="91440" tIns="45720" rIns="91440" bIns="45720" anchor="t" anchorCtr="0">
                        <a:noAutofit/>
                      </wps:bodyPr>
                    </wps:wsp>
                  </a:graphicData>
                </a:graphic>
              </wp:anchor>
            </w:drawing>
          </mc:Choice>
          <mc:Fallback>
            <w:pict>
              <v:shapetype w14:anchorId="7B1C5AA3" id="_x0000_t202" coordsize="21600,21600" o:spt="202" path="m,l,21600r21600,l21600,xe">
                <v:stroke joinstyle="miter"/>
                <v:path gradientshapeok="t" o:connecttype="rect"/>
              </v:shapetype>
              <v:shape id="Textfeld 2" o:spid="_x0000_s1026" type="#_x0000_t202" style="position:absolute;left:0;text-align:left;margin-left:-8.6pt;margin-top:182.05pt;width:224.75pt;height:80.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" filled="f" stroked="f">
                <v:textbox>
                  <w:txbxContent>
                    <w:p w14:paraId="2DB1CD58" w14:textId="2C739A2D" w:rsidR="006D3B24" w:rsidRPr="008B5A87" w:rsidRDefault="006D3B24" w:rsidP="004F1D4F">
                      <w:pPr>
                        <w:pStyle w:val="Beschriftung"/>
                        <w:rPr>
                          <w:sz w:val="18"/>
                          <w:szCs w:val="18"/>
                        </w:rPr>
                      </w:pPr>
                      <w:bookmarkStart w:id="3" w:name="_Ref108628969"/>
                      <w:r w:rsidRPr="008B5A87">
                        <w:rPr>
                          <w:sz w:val="18"/>
                          <w:szCs w:val="18"/>
                        </w:rPr>
                        <w:t xml:space="preserve">Figure </w:t>
                      </w:r>
                      <w:r w:rsidRPr="008B5A87">
                        <w:rPr>
                          <w:sz w:val="18"/>
                          <w:szCs w:val="18"/>
                        </w:rPr>
                        <w:fldChar w:fldCharType="begin"/>
                      </w:r>
                      <w:r w:rsidRPr="008B5A87">
                        <w:rPr>
                          <w:sz w:val="18"/>
                          <w:szCs w:val="18"/>
                        </w:rPr>
                        <w:instrText xml:space="preserve"> SEQ Figure \* ARABIC </w:instrText>
                      </w:r>
                      <w:r w:rsidRPr="008B5A87">
                        <w:rPr>
                          <w:sz w:val="18"/>
                          <w:szCs w:val="18"/>
                        </w:rPr>
                        <w:fldChar w:fldCharType="separate"/>
                      </w:r>
                      <w:r>
                        <w:rPr>
                          <w:noProof/>
                          <w:sz w:val="18"/>
                          <w:szCs w:val="18"/>
                        </w:rPr>
                        <w:t>1</w:t>
                      </w:r>
                      <w:r w:rsidRPr="008B5A87">
                        <w:rPr>
                          <w:sz w:val="18"/>
                          <w:szCs w:val="18"/>
                        </w:rPr>
                        <w:fldChar w:fldCharType="end"/>
                      </w:r>
                      <w:bookmarkEnd w:id="3"/>
                      <w:r w:rsidRPr="008B5A87">
                        <w:rPr>
                          <w:sz w:val="18"/>
                          <w:szCs w:val="18"/>
                        </w:rPr>
                        <w:t xml:space="preserve"> - Transfection efficiency</w:t>
                      </w:r>
                      <w:r>
                        <w:rPr>
                          <w:sz w:val="18"/>
                          <w:szCs w:val="18"/>
                        </w:rPr>
                        <w:t xml:space="preserve"> in presence of excipients:</w:t>
                      </w:r>
                      <w:r w:rsidRPr="008B5A87">
                        <w:rPr>
                          <w:sz w:val="18"/>
                          <w:szCs w:val="18"/>
                        </w:rPr>
                        <w:t xml:space="preserve"> Luminescence in RLU/mg</w:t>
                      </w:r>
                      <w:r>
                        <w:rPr>
                          <w:sz w:val="18"/>
                          <w:szCs w:val="18"/>
                        </w:rPr>
                        <w:t xml:space="preserve"> protein of sample normalised to lipoplexes without addition of excipients. A value of 1 relative unit represents an equal transfection efficiency for the samples containing excipients and the lipoplexes. Error bars show SD n = 9.</w:t>
                      </w:r>
                    </w:p>
                  </w:txbxContent>
                </v:textbox>
                <w10:wrap type="square"/>
              </v:shape>
            </w:pict>
          </mc:Fallback>
        </mc:AlternateContent>
      </w:r>
      <w:r>
        <w:rPr>
          <w:noProof/>
          <w:sz w:val="20"/>
        </w:rPr>
        <w:drawing>
          <wp:anchor distT="0" distB="0" distL="114300" distR="114300" simplePos="0" relativeHeight="251662336" behindDoc="0" locked="0" layoutInCell="1" allowOverlap="1" wp14:anchorId="34C9406A" wp14:editId="232E1756">
            <wp:simplePos x="0" y="0"/>
            <wp:positionH relativeFrom="column">
              <wp:posOffset>2712</wp:posOffset>
            </wp:positionH>
            <wp:positionV relativeFrom="paragraph">
              <wp:posOffset>62444</wp:posOffset>
            </wp:positionV>
            <wp:extent cx="2681981" cy="2249115"/>
            <wp:effectExtent l="0" t="0" r="10795" b="12065"/>
            <wp:wrapSquare wrapText="bothSides"/>
            <wp:docPr id="11" name="Diagramm 11">
              <a:extLst xmlns:a="http://schemas.openxmlformats.org/drawingml/2006/main">
                <a:ext uri="{FF2B5EF4-FFF2-40B4-BE49-F238E27FC236}">
                  <a16:creationId xmlns:a16="http://schemas.microsoft.com/office/drawing/2014/main" id="{C370DDDF-886B-7F41-BBDE-8AEC28B5A5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sidR="00DC73F1">
        <w:rPr>
          <w:sz w:val="20"/>
        </w:rPr>
        <w:t>After</w:t>
      </w:r>
      <w:r w:rsidR="008B5A87" w:rsidRPr="00B74C92">
        <w:rPr>
          <w:sz w:val="20"/>
        </w:rPr>
        <w:t xml:space="preserve"> formulation development in the </w:t>
      </w:r>
      <w:r w:rsidR="008B5A87">
        <w:rPr>
          <w:sz w:val="20"/>
        </w:rPr>
        <w:t>liquid</w:t>
      </w:r>
      <w:r w:rsidR="008B5A87" w:rsidRPr="00B74C92">
        <w:rPr>
          <w:sz w:val="20"/>
        </w:rPr>
        <w:t xml:space="preserve"> state</w:t>
      </w:r>
      <w:r w:rsidR="008B5A87">
        <w:rPr>
          <w:sz w:val="20"/>
        </w:rPr>
        <w:t>, the</w:t>
      </w:r>
      <w:r w:rsidR="008B5A87" w:rsidRPr="00B74C92">
        <w:rPr>
          <w:sz w:val="20"/>
        </w:rPr>
        <w:t xml:space="preserve"> influence of pumping</w:t>
      </w:r>
      <w:r w:rsidR="008B5A87">
        <w:rPr>
          <w:sz w:val="20"/>
        </w:rPr>
        <w:t xml:space="preserve"> </w:t>
      </w:r>
      <w:r w:rsidR="008B5A87" w:rsidRPr="00B74C92">
        <w:rPr>
          <w:sz w:val="20"/>
        </w:rPr>
        <w:t>and spraying on DOTAP:DOPE-lipoplexes w</w:t>
      </w:r>
      <w:r w:rsidR="008B5A87">
        <w:rPr>
          <w:sz w:val="20"/>
        </w:rPr>
        <w:t>as</w:t>
      </w:r>
      <w:r w:rsidR="008B5A87" w:rsidRPr="00B74C92">
        <w:rPr>
          <w:sz w:val="20"/>
        </w:rPr>
        <w:t xml:space="preserve"> tested with the Nano Spray Dryer and the Mini Spray dryer. Spraying with both spray dryers and samples resulted in very low transfection </w:t>
      </w:r>
      <w:r w:rsidR="008B5A87" w:rsidRPr="00DC73F1">
        <w:rPr>
          <w:sz w:val="20"/>
        </w:rPr>
        <w:t>efficiencies</w:t>
      </w:r>
      <w:r w:rsidR="00DC73F1" w:rsidRPr="00DC73F1">
        <w:rPr>
          <w:sz w:val="20"/>
        </w:rPr>
        <w:t xml:space="preserve"> (</w:t>
      </w:r>
      <w:r w:rsidR="00DC73F1" w:rsidRPr="00DC73F1">
        <w:rPr>
          <w:sz w:val="20"/>
        </w:rPr>
        <w:fldChar w:fldCharType="begin"/>
      </w:r>
      <w:r w:rsidR="00DC73F1" w:rsidRPr="00DC73F1">
        <w:rPr>
          <w:sz w:val="20"/>
        </w:rPr>
        <w:instrText xml:space="preserve"> REF _Ref108628942 \h </w:instrText>
      </w:r>
      <w:r w:rsidR="00DC73F1">
        <w:rPr>
          <w:sz w:val="20"/>
        </w:rPr>
        <w:instrText xml:space="preserve"> \* MERGEFORMAT </w:instrText>
      </w:r>
      <w:r w:rsidR="00DC73F1" w:rsidRPr="00DC73F1">
        <w:rPr>
          <w:sz w:val="20"/>
        </w:rPr>
      </w:r>
      <w:r w:rsidR="00DC73F1" w:rsidRPr="00DC73F1">
        <w:rPr>
          <w:sz w:val="20"/>
        </w:rPr>
        <w:fldChar w:fldCharType="separate"/>
      </w:r>
      <w:r w:rsidR="00257899" w:rsidRPr="00257899">
        <w:rPr>
          <w:sz w:val="20"/>
        </w:rPr>
        <w:t xml:space="preserve">Figure </w:t>
      </w:r>
      <w:r w:rsidR="00257899" w:rsidRPr="00257899">
        <w:rPr>
          <w:noProof/>
          <w:sz w:val="20"/>
        </w:rPr>
        <w:t>2</w:t>
      </w:r>
      <w:r w:rsidR="00DC73F1" w:rsidRPr="00DC73F1">
        <w:rPr>
          <w:sz w:val="20"/>
        </w:rPr>
        <w:fldChar w:fldCharType="end"/>
      </w:r>
      <w:r w:rsidR="008B5A87" w:rsidRPr="00DC73F1">
        <w:rPr>
          <w:sz w:val="20"/>
        </w:rPr>
        <w:t>). In</w:t>
      </w:r>
      <w:r w:rsidR="008B5A87" w:rsidRPr="00B74C92">
        <w:rPr>
          <w:sz w:val="20"/>
        </w:rPr>
        <w:t xml:space="preserve"> contrast</w:t>
      </w:r>
      <w:r w:rsidR="008B5A87">
        <w:rPr>
          <w:sz w:val="20"/>
        </w:rPr>
        <w:t>,</w:t>
      </w:r>
      <w:r w:rsidR="008B5A87" w:rsidRPr="00B74C92">
        <w:rPr>
          <w:sz w:val="20"/>
        </w:rPr>
        <w:t xml:space="preserve"> the transfection efficiency of naked mRNA, to which DOTAP:DOPE was added after pumping, was still above 60 % of the control’s transfection efficiency. </w:t>
      </w:r>
      <w:r w:rsidR="008B5A87">
        <w:rPr>
          <w:sz w:val="20"/>
        </w:rPr>
        <w:t>This showed, that the mRNA integrity as such was not impaired. However, the pre-formed</w:t>
      </w:r>
      <w:r w:rsidR="008B5A87" w:rsidRPr="00B74C92">
        <w:rPr>
          <w:sz w:val="20"/>
        </w:rPr>
        <w:t xml:space="preserve"> lipoplexes could not be transfected to a </w:t>
      </w:r>
      <w:r w:rsidR="008B5A87" w:rsidRPr="006E37F2">
        <w:rPr>
          <w:sz w:val="20"/>
        </w:rPr>
        <w:t>satisfying</w:t>
      </w:r>
      <w:r w:rsidR="008B5A87" w:rsidRPr="00B74C92">
        <w:rPr>
          <w:sz w:val="20"/>
        </w:rPr>
        <w:t xml:space="preserve"> level, neither after pumping nor after spraying with both spray dryers</w:t>
      </w:r>
      <w:r w:rsidR="008B5A87" w:rsidRPr="00AB0193">
        <w:rPr>
          <w:sz w:val="20"/>
        </w:rPr>
        <w:t xml:space="preserve"> </w:t>
      </w:r>
      <w:r w:rsidR="008B5A87">
        <w:rPr>
          <w:sz w:val="20"/>
        </w:rPr>
        <w:t xml:space="preserve">as </w:t>
      </w:r>
      <w:r w:rsidR="0038453D">
        <w:rPr>
          <w:sz w:val="20"/>
        </w:rPr>
        <w:t>the process disrupt</w:t>
      </w:r>
      <w:r w:rsidR="00A66E7C">
        <w:rPr>
          <w:sz w:val="20"/>
        </w:rPr>
        <w:t>ed</w:t>
      </w:r>
      <w:r w:rsidR="0038453D">
        <w:rPr>
          <w:sz w:val="20"/>
        </w:rPr>
        <w:t xml:space="preserve"> </w:t>
      </w:r>
      <w:r w:rsidR="00EF3B84">
        <w:rPr>
          <w:sz w:val="20"/>
        </w:rPr>
        <w:t xml:space="preserve">the </w:t>
      </w:r>
      <w:r w:rsidR="0038453D">
        <w:rPr>
          <w:sz w:val="20"/>
        </w:rPr>
        <w:t>functional integrity of the lipoplexes</w:t>
      </w:r>
      <w:r w:rsidR="00A5078D">
        <w:rPr>
          <w:sz w:val="20"/>
        </w:rPr>
        <w:t>.</w:t>
      </w:r>
      <w:r w:rsidR="008B5A87" w:rsidRPr="00B74C92">
        <w:rPr>
          <w:sz w:val="20"/>
        </w:rPr>
        <w:t xml:space="preserve"> </w:t>
      </w:r>
      <w:r w:rsidR="008B5A87">
        <w:rPr>
          <w:sz w:val="20"/>
        </w:rPr>
        <w:t>As a possible</w:t>
      </w:r>
      <w:r w:rsidR="008B5A87" w:rsidRPr="00B74C92">
        <w:rPr>
          <w:sz w:val="20"/>
        </w:rPr>
        <w:t xml:space="preserve"> reason for that </w:t>
      </w:r>
      <w:r w:rsidR="00A5078D" w:rsidRPr="00B74C92">
        <w:rPr>
          <w:sz w:val="20"/>
        </w:rPr>
        <w:t>observation,</w:t>
      </w:r>
      <w:r w:rsidR="008B5A87" w:rsidRPr="00B74C92">
        <w:rPr>
          <w:sz w:val="20"/>
        </w:rPr>
        <w:t xml:space="preserve"> the adsorbing properties of the silicone tube</w:t>
      </w:r>
      <w:r w:rsidR="008B5A87">
        <w:rPr>
          <w:sz w:val="20"/>
        </w:rPr>
        <w:t xml:space="preserve"> were identified</w:t>
      </w:r>
      <w:r w:rsidR="008B5A87" w:rsidRPr="00B74C92">
        <w:rPr>
          <w:sz w:val="20"/>
        </w:rPr>
        <w:t>.</w:t>
      </w:r>
    </w:p>
    <w:p w14:paraId="4A4A8A15" w14:textId="4D617185" w:rsidR="00445817" w:rsidRDefault="003C21CD" w:rsidP="008B5A87">
      <w:pPr>
        <w:rPr>
          <w:sz w:val="20"/>
        </w:rPr>
      </w:pPr>
      <w:r>
        <w:rPr>
          <w:noProof/>
          <w:sz w:val="20"/>
        </w:rPr>
        <mc:AlternateContent>
          <mc:Choice Requires="wpg">
            <w:drawing>
              <wp:anchor distT="0" distB="0" distL="114300" distR="114300" simplePos="0" relativeHeight="251650048" behindDoc="0" locked="0" layoutInCell="1" allowOverlap="1" wp14:anchorId="33AC1D7E" wp14:editId="114F5008">
                <wp:simplePos x="0" y="0"/>
                <wp:positionH relativeFrom="margin">
                  <wp:posOffset>-73660</wp:posOffset>
                </wp:positionH>
                <wp:positionV relativeFrom="paragraph">
                  <wp:posOffset>1272831</wp:posOffset>
                </wp:positionV>
                <wp:extent cx="5859780" cy="2711092"/>
                <wp:effectExtent l="0" t="0" r="0" b="0"/>
                <wp:wrapSquare wrapText="bothSides"/>
                <wp:docPr id="6" name="Gruppieren 6"/>
                <wp:cNvGraphicFramePr/>
                <a:graphic xmlns:a="http://schemas.openxmlformats.org/drawingml/2006/main">
                  <a:graphicData uri="http://schemas.microsoft.com/office/word/2010/wordprocessingGroup">
                    <wpg:wgp>
                      <wpg:cNvGrpSpPr/>
                      <wpg:grpSpPr>
                        <a:xfrm>
                          <a:off x="0" y="0"/>
                          <a:ext cx="5859780" cy="2711092"/>
                          <a:chOff x="0" y="-62677"/>
                          <a:chExt cx="5836258" cy="2817481"/>
                        </a:xfrm>
                      </wpg:grpSpPr>
                      <wps:wsp>
                        <wps:cNvPr id="217" name="Textfeld 2"/>
                        <wps:cNvSpPr txBox="1">
                          <a:spLocks noChangeArrowheads="1"/>
                        </wps:cNvSpPr>
                        <wps:spPr bwMode="auto">
                          <a:xfrm>
                            <a:off x="0" y="2245318"/>
                            <a:ext cx="5836258" cy="509486"/>
                          </a:xfrm>
                          <a:prstGeom prst="rect">
                            <a:avLst/>
                          </a:prstGeom>
                          <a:noFill/>
                          <a:ln w="9525">
                            <a:noFill/>
                            <a:miter lim="800000"/>
                            <a:headEnd/>
                            <a:tailEnd/>
                          </a:ln>
                        </wps:spPr>
                        <wps:txbx>
                          <w:txbxContent>
                            <w:p w14:paraId="642D0772" w14:textId="111A69B6" w:rsidR="006D3B24" w:rsidRPr="008B5A87" w:rsidRDefault="006D3B24" w:rsidP="008B5A87">
                              <w:pPr>
                                <w:pStyle w:val="Caption"/>
                                <w:rPr>
                                  <w:sz w:val="18"/>
                                  <w:szCs w:val="18"/>
                                </w:rPr>
                              </w:pPr>
                              <w:bookmarkStart w:id="3" w:name="_Ref108628942"/>
                              <w:r w:rsidRPr="008B5A87">
                                <w:rPr>
                                  <w:sz w:val="18"/>
                                  <w:szCs w:val="18"/>
                                </w:rPr>
                                <w:t xml:space="preserve">Figure </w:t>
                              </w:r>
                              <w:r w:rsidRPr="008B5A87">
                                <w:rPr>
                                  <w:sz w:val="18"/>
                                  <w:szCs w:val="18"/>
                                </w:rPr>
                                <w:fldChar w:fldCharType="begin"/>
                              </w:r>
                              <w:r w:rsidRPr="008B5A87">
                                <w:rPr>
                                  <w:sz w:val="18"/>
                                  <w:szCs w:val="18"/>
                                </w:rPr>
                                <w:instrText xml:space="preserve"> SEQ Figure \* ARABIC </w:instrText>
                              </w:r>
                              <w:r w:rsidRPr="008B5A87">
                                <w:rPr>
                                  <w:sz w:val="18"/>
                                  <w:szCs w:val="18"/>
                                </w:rPr>
                                <w:fldChar w:fldCharType="separate"/>
                              </w:r>
                              <w:r>
                                <w:rPr>
                                  <w:noProof/>
                                  <w:sz w:val="18"/>
                                  <w:szCs w:val="18"/>
                                </w:rPr>
                                <w:t>2</w:t>
                              </w:r>
                              <w:r w:rsidRPr="008B5A87">
                                <w:rPr>
                                  <w:sz w:val="18"/>
                                  <w:szCs w:val="18"/>
                                </w:rPr>
                                <w:fldChar w:fldCharType="end"/>
                              </w:r>
                              <w:bookmarkEnd w:id="3"/>
                              <w:r w:rsidRPr="008B5A87">
                                <w:rPr>
                                  <w:sz w:val="18"/>
                                  <w:szCs w:val="18"/>
                                </w:rPr>
                                <w:t xml:space="preserve"> - Transfection efficiency after pumping and spraying (silicone tube): Luminescence in RLU/mg</w:t>
                              </w:r>
                              <w:r>
                                <w:rPr>
                                  <w:sz w:val="18"/>
                                  <w:szCs w:val="18"/>
                                </w:rPr>
                                <w:t xml:space="preserve"> protein of sample normalised to untreated lipoplexes. A value of 1 relative unit represents an equal transfection efficiency for the pumped or sprayed samples and the lipoplexes. Error bars show SD n = 3.</w:t>
                              </w:r>
                            </w:p>
                          </w:txbxContent>
                        </wps:txbx>
                        <wps:bodyPr rot="0" vert="horz" wrap="square" lIns="91440" tIns="45720" rIns="91440" bIns="45720" anchor="t" anchorCtr="0">
                          <a:noAutofit/>
                        </wps:bodyPr>
                      </wps:wsp>
                      <wpg:graphicFrame>
                        <wpg:cNvPr id="1" name="Diagramm 1">
                          <a:extLst>
                            <a:ext uri="{FF2B5EF4-FFF2-40B4-BE49-F238E27FC236}">
                              <a16:creationId xmlns:a16="http://schemas.microsoft.com/office/drawing/2014/main" id="{C370DDDF-886B-7F41-BBDE-8AEC28B5A5B4}"/>
                            </a:ext>
                          </a:extLst>
                        </wpg:cNvPr>
                        <wpg:cNvFrPr/>
                        <wpg:xfrm>
                          <a:off x="87464" y="-62677"/>
                          <a:ext cx="5727699" cy="2321561"/>
                        </wpg:xfrm>
                        <a:graphic>
                          <a:graphicData uri="http://schemas.openxmlformats.org/drawingml/2006/chart">
                            <c:chart xmlns:c="http://schemas.openxmlformats.org/drawingml/2006/chart" xmlns:r="http://schemas.openxmlformats.org/officeDocument/2006/relationships" r:id="rId12"/>
                          </a:graphicData>
                        </a:graphic>
                      </wpg:graphicFrame>
                    </wpg:wgp>
                  </a:graphicData>
                </a:graphic>
                <wp14:sizeRelH relativeFrom="margin">
                  <wp14:pctWidth>0</wp14:pctWidth>
                </wp14:sizeRelH>
                <wp14:sizeRelV relativeFrom="margin">
                  <wp14:pctHeight>0</wp14:pctHeight>
                </wp14:sizeRelV>
              </wp:anchor>
            </w:drawing>
          </mc:Choice>
          <mc:Fallback>
            <w:pict>
              <v:group w14:anchorId="33AC1D7E" id="Gruppieren 6" o:spid="_x0000_s1027" style="position:absolute;left:0;text-align:left;margin-left:-5.8pt;margin-top:100.2pt;width:461.4pt;height:213.45pt;z-index:251650048;mso-position-horizontal-relative:margin;mso-width-relative:margin;mso-height-relative:margin" coordorigin=",-626" coordsize="58362,28174"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">
                <v:shape id="_x0000_s1028" type="#_x0000_t202" style="position:absolute;top:22453;width:58362;height:5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" filled="f" stroked="f">
                  <v:textbox>
                    <w:txbxContent>
                      <w:p w14:paraId="642D0772" w14:textId="111A69B6" w:rsidR="006D3B24" w:rsidRPr="008B5A87" w:rsidRDefault="006D3B24" w:rsidP="008B5A87">
                        <w:pPr>
                          <w:pStyle w:val="Beschriftung"/>
                          <w:rPr>
                            <w:sz w:val="18"/>
                            <w:szCs w:val="18"/>
                          </w:rPr>
                        </w:pPr>
                        <w:bookmarkStart w:id="5" w:name="_Ref108628942"/>
                        <w:r w:rsidRPr="008B5A87">
                          <w:rPr>
                            <w:sz w:val="18"/>
                            <w:szCs w:val="18"/>
                          </w:rPr>
                          <w:t xml:space="preserve">Figure </w:t>
                        </w:r>
                        <w:r w:rsidRPr="008B5A87">
                          <w:rPr>
                            <w:sz w:val="18"/>
                            <w:szCs w:val="18"/>
                          </w:rPr>
                          <w:fldChar w:fldCharType="begin"/>
                        </w:r>
                        <w:r w:rsidRPr="008B5A87">
                          <w:rPr>
                            <w:sz w:val="18"/>
                            <w:szCs w:val="18"/>
                          </w:rPr>
                          <w:instrText xml:space="preserve"> SEQ Figure \* ARABIC </w:instrText>
                        </w:r>
                        <w:r w:rsidRPr="008B5A87">
                          <w:rPr>
                            <w:sz w:val="18"/>
                            <w:szCs w:val="18"/>
                          </w:rPr>
                          <w:fldChar w:fldCharType="separate"/>
                        </w:r>
                        <w:r>
                          <w:rPr>
                            <w:noProof/>
                            <w:sz w:val="18"/>
                            <w:szCs w:val="18"/>
                          </w:rPr>
                          <w:t>2</w:t>
                        </w:r>
                        <w:r w:rsidRPr="008B5A87">
                          <w:rPr>
                            <w:sz w:val="18"/>
                            <w:szCs w:val="18"/>
                          </w:rPr>
                          <w:fldChar w:fldCharType="end"/>
                        </w:r>
                        <w:bookmarkEnd w:id="5"/>
                        <w:r w:rsidRPr="008B5A87">
                          <w:rPr>
                            <w:sz w:val="18"/>
                            <w:szCs w:val="18"/>
                          </w:rPr>
                          <w:t xml:space="preserve"> - Transfection efficiency after pumping and spraying (silicone tube): Luminescence in RLU/mg</w:t>
                        </w:r>
                        <w:r>
                          <w:rPr>
                            <w:sz w:val="18"/>
                            <w:szCs w:val="18"/>
                          </w:rPr>
                          <w:t xml:space="preserve"> protein of sample normalised to untreated lipoplexes. A value of 1 relative unit represents an equal transfection efficiency for the pumped or sprayed samples and the lipoplexes. Error bars show SD n = 3.</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m 1" o:spid="_x0000_s1029" type="#_x0000_t75" style="position:absolute;left:758;top:-758;width:57553;height:234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">
                  <v:imagedata r:id="rId13" o:title=""/>
                  <o:lock v:ext="edit" aspectratio="f"/>
                </v:shape>
                <w10:wrap type="square" anchorx="margin"/>
              </v:group>
            </w:pict>
          </mc:Fallback>
        </mc:AlternateContent>
      </w:r>
      <w:r w:rsidR="008B5A87" w:rsidRPr="00B74C92">
        <w:rPr>
          <w:sz w:val="20"/>
        </w:rPr>
        <w:t>Hence, two further tube</w:t>
      </w:r>
      <w:r w:rsidR="00A5078D">
        <w:rPr>
          <w:sz w:val="20"/>
        </w:rPr>
        <w:t>s</w:t>
      </w:r>
      <w:r w:rsidR="008B5A87" w:rsidRPr="00B74C92">
        <w:rPr>
          <w:sz w:val="20"/>
        </w:rPr>
        <w:t xml:space="preserve"> were tested. </w:t>
      </w:r>
      <w:r w:rsidR="00DC73F1">
        <w:rPr>
          <w:sz w:val="20"/>
        </w:rPr>
        <w:t>On</w:t>
      </w:r>
      <w:r w:rsidR="008B5A87" w:rsidRPr="00B74C92">
        <w:rPr>
          <w:sz w:val="20"/>
        </w:rPr>
        <w:t xml:space="preserve"> the one hand</w:t>
      </w:r>
      <w:r w:rsidR="008A3FB2">
        <w:rPr>
          <w:sz w:val="20"/>
        </w:rPr>
        <w:t>,</w:t>
      </w:r>
      <w:r w:rsidR="008B5A87" w:rsidRPr="00B74C92">
        <w:rPr>
          <w:sz w:val="20"/>
        </w:rPr>
        <w:t xml:space="preserve"> the TYGON®-F-4040-A, which has its main field of application in fuels and lubricants. On the other hand</w:t>
      </w:r>
      <w:r w:rsidR="008A3FB2">
        <w:rPr>
          <w:sz w:val="20"/>
        </w:rPr>
        <w:t>,</w:t>
      </w:r>
      <w:r w:rsidR="008B5A87" w:rsidRPr="00B74C92">
        <w:rPr>
          <w:sz w:val="20"/>
        </w:rPr>
        <w:t xml:space="preserve"> the TYGON®-2375 NSF-51</w:t>
      </w:r>
      <w:r w:rsidR="00A5078D">
        <w:rPr>
          <w:sz w:val="20"/>
        </w:rPr>
        <w:t xml:space="preserve"> that </w:t>
      </w:r>
      <w:r w:rsidR="008B5A87">
        <w:rPr>
          <w:sz w:val="20"/>
        </w:rPr>
        <w:t>has high resistance</w:t>
      </w:r>
      <w:r w:rsidR="008B5A87" w:rsidRPr="00B74C92">
        <w:rPr>
          <w:sz w:val="20"/>
        </w:rPr>
        <w:t xml:space="preserve"> against strong acids and leaches and is listed in the FDA’s Code of Federal Regulations §177.1520 as a substance for use as </w:t>
      </w:r>
      <w:r w:rsidR="008A3FB2">
        <w:rPr>
          <w:sz w:val="20"/>
        </w:rPr>
        <w:t xml:space="preserve">a </w:t>
      </w:r>
      <w:r w:rsidR="008B5A87" w:rsidRPr="00B74C92">
        <w:rPr>
          <w:sz w:val="20"/>
        </w:rPr>
        <w:t>basic component of single and repeated use food contact surfaces. Both tube</w:t>
      </w:r>
      <w:r w:rsidR="008B5A87">
        <w:rPr>
          <w:sz w:val="20"/>
        </w:rPr>
        <w:t>s</w:t>
      </w:r>
      <w:r w:rsidR="008B5A87" w:rsidRPr="00B74C92">
        <w:rPr>
          <w:sz w:val="20"/>
        </w:rPr>
        <w:t xml:space="preserve"> have a very </w:t>
      </w:r>
      <w:r w:rsidR="008B5A87">
        <w:rPr>
          <w:sz w:val="20"/>
        </w:rPr>
        <w:t>smooth</w:t>
      </w:r>
      <w:r w:rsidR="008B5A87" w:rsidRPr="00B74C92">
        <w:rPr>
          <w:sz w:val="20"/>
        </w:rPr>
        <w:t xml:space="preserve"> and antiadhesive </w:t>
      </w:r>
      <w:r w:rsidR="008B5A87">
        <w:rPr>
          <w:sz w:val="20"/>
        </w:rPr>
        <w:t xml:space="preserve">inner </w:t>
      </w:r>
      <w:r w:rsidR="008B5A87" w:rsidRPr="00B74C92">
        <w:rPr>
          <w:sz w:val="20"/>
        </w:rPr>
        <w:t>surface to prevent adsorption.</w:t>
      </w:r>
    </w:p>
    <w:p w14:paraId="28A0297D" w14:textId="0FFFE61E" w:rsidR="008B5A87" w:rsidRDefault="001F1DA7" w:rsidP="003C21CD">
      <w:pPr>
        <w:spacing w:after="0"/>
        <w:rPr>
          <w:sz w:val="20"/>
        </w:rPr>
      </w:pPr>
      <w:r>
        <w:rPr>
          <w:noProof/>
          <w:sz w:val="20"/>
        </w:rPr>
        <w:lastRenderedPageBreak/>
        <mc:AlternateContent>
          <mc:Choice Requires="wps">
            <w:drawing>
              <wp:anchor distT="0" distB="0" distL="114300" distR="114300" simplePos="0" relativeHeight="251668480" behindDoc="0" locked="0" layoutInCell="1" allowOverlap="1" wp14:anchorId="085CB8D5" wp14:editId="2819CB4C">
                <wp:simplePos x="0" y="0"/>
                <wp:positionH relativeFrom="column">
                  <wp:posOffset>-74877</wp:posOffset>
                </wp:positionH>
                <wp:positionV relativeFrom="paragraph">
                  <wp:posOffset>2848687</wp:posOffset>
                </wp:positionV>
                <wp:extent cx="5847080" cy="622300"/>
                <wp:effectExtent l="0" t="0" r="0" b="0"/>
                <wp:wrapSquare wrapText="bothSides"/>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7080" cy="622300"/>
                        </a:xfrm>
                        <a:prstGeom prst="rect">
                          <a:avLst/>
                        </a:prstGeom>
                        <a:noFill/>
                        <a:ln w="9525">
                          <a:noFill/>
                          <a:miter lim="800000"/>
                          <a:headEnd/>
                          <a:tailEnd/>
                        </a:ln>
                      </wps:spPr>
                      <wps:txbx>
                        <w:txbxContent>
                          <w:p w14:paraId="06CD4C14" w14:textId="18A23AB6" w:rsidR="006D3B24" w:rsidRPr="008B5A87" w:rsidRDefault="006D3B24" w:rsidP="00344692">
                            <w:pPr>
                              <w:pStyle w:val="Caption"/>
                              <w:rPr>
                                <w:sz w:val="18"/>
                                <w:szCs w:val="18"/>
                              </w:rPr>
                            </w:pPr>
                            <w:bookmarkStart w:id="4" w:name="_Ref108630387"/>
                            <w:r w:rsidRPr="008B5A87">
                              <w:rPr>
                                <w:sz w:val="18"/>
                                <w:szCs w:val="18"/>
                              </w:rPr>
                              <w:t xml:space="preserve">Figure </w:t>
                            </w:r>
                            <w:r w:rsidRPr="008B5A87">
                              <w:rPr>
                                <w:sz w:val="18"/>
                                <w:szCs w:val="18"/>
                              </w:rPr>
                              <w:fldChar w:fldCharType="begin"/>
                            </w:r>
                            <w:r w:rsidRPr="008B5A87">
                              <w:rPr>
                                <w:sz w:val="18"/>
                                <w:szCs w:val="18"/>
                              </w:rPr>
                              <w:instrText xml:space="preserve"> SEQ Figure \* ARABIC </w:instrText>
                            </w:r>
                            <w:r w:rsidRPr="008B5A87">
                              <w:rPr>
                                <w:sz w:val="18"/>
                                <w:szCs w:val="18"/>
                              </w:rPr>
                              <w:fldChar w:fldCharType="separate"/>
                            </w:r>
                            <w:r>
                              <w:rPr>
                                <w:noProof/>
                                <w:sz w:val="18"/>
                                <w:szCs w:val="18"/>
                              </w:rPr>
                              <w:t>3</w:t>
                            </w:r>
                            <w:r w:rsidRPr="008B5A87">
                              <w:rPr>
                                <w:sz w:val="18"/>
                                <w:szCs w:val="18"/>
                              </w:rPr>
                              <w:fldChar w:fldCharType="end"/>
                            </w:r>
                            <w:bookmarkEnd w:id="4"/>
                            <w:r w:rsidRPr="008B5A87">
                              <w:rPr>
                                <w:sz w:val="18"/>
                                <w:szCs w:val="18"/>
                              </w:rPr>
                              <w:t xml:space="preserve"> - </w:t>
                            </w:r>
                            <w:r w:rsidRPr="00344692">
                              <w:rPr>
                                <w:sz w:val="18"/>
                                <w:szCs w:val="18"/>
                              </w:rPr>
                              <w:t>Transfection efficienc</w:t>
                            </w:r>
                            <w:r>
                              <w:rPr>
                                <w:sz w:val="18"/>
                                <w:szCs w:val="18"/>
                              </w:rPr>
                              <w:t xml:space="preserve">y of naked mRNA and lipoplexes </w:t>
                            </w:r>
                            <w:r w:rsidRPr="00344692">
                              <w:rPr>
                                <w:sz w:val="18"/>
                                <w:szCs w:val="18"/>
                              </w:rPr>
                              <w:t>after flowing through the tubes</w:t>
                            </w:r>
                            <w:r>
                              <w:rPr>
                                <w:sz w:val="18"/>
                                <w:szCs w:val="18"/>
                              </w:rPr>
                              <w:t xml:space="preserve">: </w:t>
                            </w:r>
                            <w:r w:rsidRPr="008B5A87">
                              <w:rPr>
                                <w:sz w:val="18"/>
                                <w:szCs w:val="18"/>
                              </w:rPr>
                              <w:t>Luminescence in RLU/mg</w:t>
                            </w:r>
                            <w:r>
                              <w:rPr>
                                <w:sz w:val="18"/>
                                <w:szCs w:val="18"/>
                              </w:rPr>
                              <w:t xml:space="preserve"> protein of sample normalised to untreated lipoplexes. A value of 1 relative unit represents an equal transfection efficiency for the pumped or sprayed samples and the lipoplexes. Error bars show SD n = 3.</w:t>
                            </w:r>
                          </w:p>
                        </w:txbxContent>
                      </wps:txbx>
                      <wps:bodyPr rot="0" vert="horz" wrap="square" lIns="91440" tIns="45720" rIns="91440" bIns="45720" anchor="t" anchorCtr="0">
                        <a:noAutofit/>
                      </wps:bodyPr>
                    </wps:wsp>
                  </a:graphicData>
                </a:graphic>
              </wp:anchor>
            </w:drawing>
          </mc:Choice>
          <mc:Fallback>
            <w:pict>
              <v:shape w14:anchorId="085CB8D5" id="_x0000_s1030" type="#_x0000_t202" style="position:absolute;left:0;text-align:left;margin-left:-5.9pt;margin-top:224.3pt;width:460.4pt;height:49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" filled="f" stroked="f">
                <v:textbox>
                  <w:txbxContent>
                    <w:p w14:paraId="06CD4C14" w14:textId="18A23AB6" w:rsidR="006D3B24" w:rsidRPr="008B5A87" w:rsidRDefault="006D3B24" w:rsidP="00344692">
                      <w:pPr>
                        <w:pStyle w:val="Beschriftung"/>
                        <w:rPr>
                          <w:sz w:val="18"/>
                          <w:szCs w:val="18"/>
                        </w:rPr>
                      </w:pPr>
                      <w:bookmarkStart w:id="7" w:name="_Ref108630387"/>
                      <w:r w:rsidRPr="008B5A87">
                        <w:rPr>
                          <w:sz w:val="18"/>
                          <w:szCs w:val="18"/>
                        </w:rPr>
                        <w:t xml:space="preserve">Figure </w:t>
                      </w:r>
                      <w:r w:rsidRPr="008B5A87">
                        <w:rPr>
                          <w:sz w:val="18"/>
                          <w:szCs w:val="18"/>
                        </w:rPr>
                        <w:fldChar w:fldCharType="begin"/>
                      </w:r>
                      <w:r w:rsidRPr="008B5A87">
                        <w:rPr>
                          <w:sz w:val="18"/>
                          <w:szCs w:val="18"/>
                        </w:rPr>
                        <w:instrText xml:space="preserve"> SEQ Figure \* ARABIC </w:instrText>
                      </w:r>
                      <w:r w:rsidRPr="008B5A87">
                        <w:rPr>
                          <w:sz w:val="18"/>
                          <w:szCs w:val="18"/>
                        </w:rPr>
                        <w:fldChar w:fldCharType="separate"/>
                      </w:r>
                      <w:r>
                        <w:rPr>
                          <w:noProof/>
                          <w:sz w:val="18"/>
                          <w:szCs w:val="18"/>
                        </w:rPr>
                        <w:t>3</w:t>
                      </w:r>
                      <w:r w:rsidRPr="008B5A87">
                        <w:rPr>
                          <w:sz w:val="18"/>
                          <w:szCs w:val="18"/>
                        </w:rPr>
                        <w:fldChar w:fldCharType="end"/>
                      </w:r>
                      <w:bookmarkEnd w:id="7"/>
                      <w:r w:rsidRPr="008B5A87">
                        <w:rPr>
                          <w:sz w:val="18"/>
                          <w:szCs w:val="18"/>
                        </w:rPr>
                        <w:t xml:space="preserve"> - </w:t>
                      </w:r>
                      <w:r w:rsidRPr="00344692">
                        <w:rPr>
                          <w:sz w:val="18"/>
                          <w:szCs w:val="18"/>
                        </w:rPr>
                        <w:t>Transfection efficienc</w:t>
                      </w:r>
                      <w:r>
                        <w:rPr>
                          <w:sz w:val="18"/>
                          <w:szCs w:val="18"/>
                        </w:rPr>
                        <w:t xml:space="preserve">y of naked mRNA and lipoplexes </w:t>
                      </w:r>
                      <w:r w:rsidRPr="00344692">
                        <w:rPr>
                          <w:sz w:val="18"/>
                          <w:szCs w:val="18"/>
                        </w:rPr>
                        <w:t>after flowing through the tubes</w:t>
                      </w:r>
                      <w:r>
                        <w:rPr>
                          <w:sz w:val="18"/>
                          <w:szCs w:val="18"/>
                        </w:rPr>
                        <w:t xml:space="preserve">: </w:t>
                      </w:r>
                      <w:r w:rsidRPr="008B5A87">
                        <w:rPr>
                          <w:sz w:val="18"/>
                          <w:szCs w:val="18"/>
                        </w:rPr>
                        <w:t>Luminescence in RLU/mg</w:t>
                      </w:r>
                      <w:r>
                        <w:rPr>
                          <w:sz w:val="18"/>
                          <w:szCs w:val="18"/>
                        </w:rPr>
                        <w:t xml:space="preserve"> protein of sample normalised to untreated lipoplexes. A value of 1 relative unit represents an equal transfection efficiency for the pumped or sprayed samples and the lipoplexes. Error bars show SD n = 3.</w:t>
                      </w:r>
                    </w:p>
                  </w:txbxContent>
                </v:textbox>
                <w10:wrap type="square"/>
              </v:shape>
            </w:pict>
          </mc:Fallback>
        </mc:AlternateContent>
      </w:r>
      <w:r>
        <w:rPr>
          <w:noProof/>
          <w:sz w:val="20"/>
        </w:rPr>
        <w:drawing>
          <wp:anchor distT="0" distB="0" distL="114300" distR="114300" simplePos="0" relativeHeight="251669504" behindDoc="0" locked="0" layoutInCell="1" allowOverlap="1" wp14:anchorId="672BCB63" wp14:editId="22D1D694">
            <wp:simplePos x="0" y="0"/>
            <wp:positionH relativeFrom="column">
              <wp:posOffset>2036</wp:posOffset>
            </wp:positionH>
            <wp:positionV relativeFrom="paragraph">
              <wp:posOffset>942975</wp:posOffset>
            </wp:positionV>
            <wp:extent cx="5771515" cy="1888490"/>
            <wp:effectExtent l="0" t="0" r="6985" b="16510"/>
            <wp:wrapSquare wrapText="bothSides"/>
            <wp:docPr id="3" name="Diagramm 3">
              <a:extLst xmlns:a="http://schemas.openxmlformats.org/drawingml/2006/main">
                <a:ext uri="{FF2B5EF4-FFF2-40B4-BE49-F238E27FC236}">
                  <a16:creationId xmlns:a16="http://schemas.microsoft.com/office/drawing/2014/main" id="{00000000-0008-0000-05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8B5A87">
        <w:rPr>
          <w:sz w:val="20"/>
        </w:rPr>
        <w:t xml:space="preserve">Three tubes were tested with naked mRNA </w:t>
      </w:r>
      <w:r w:rsidR="008B5A87" w:rsidRPr="00A10A01">
        <w:rPr>
          <w:sz w:val="20"/>
        </w:rPr>
        <w:t>and lipoplexes (</w:t>
      </w:r>
      <w:r w:rsidR="00A10A01" w:rsidRPr="00A10A01">
        <w:rPr>
          <w:sz w:val="20"/>
        </w:rPr>
        <w:fldChar w:fldCharType="begin"/>
      </w:r>
      <w:r w:rsidR="00A10A01" w:rsidRPr="00A10A01">
        <w:rPr>
          <w:sz w:val="20"/>
        </w:rPr>
        <w:instrText xml:space="preserve"> REF _Ref108630387 \h </w:instrText>
      </w:r>
      <w:r w:rsidR="00A10A01">
        <w:rPr>
          <w:sz w:val="20"/>
        </w:rPr>
        <w:instrText xml:space="preserve"> \* MERGEFORMAT </w:instrText>
      </w:r>
      <w:r w:rsidR="00A10A01" w:rsidRPr="00A10A01">
        <w:rPr>
          <w:sz w:val="20"/>
        </w:rPr>
      </w:r>
      <w:r w:rsidR="00A10A01" w:rsidRPr="00A10A01">
        <w:rPr>
          <w:sz w:val="20"/>
        </w:rPr>
        <w:fldChar w:fldCharType="separate"/>
      </w:r>
      <w:r w:rsidR="00257899" w:rsidRPr="00257899">
        <w:rPr>
          <w:sz w:val="20"/>
        </w:rPr>
        <w:t>Figure</w:t>
      </w:r>
      <w:r w:rsidR="00257899" w:rsidRPr="008B5A87">
        <w:rPr>
          <w:szCs w:val="18"/>
        </w:rPr>
        <w:t xml:space="preserve"> </w:t>
      </w:r>
      <w:r w:rsidR="00257899">
        <w:rPr>
          <w:noProof/>
          <w:szCs w:val="18"/>
        </w:rPr>
        <w:t>3</w:t>
      </w:r>
      <w:r w:rsidR="00A10A01" w:rsidRPr="00A10A01">
        <w:rPr>
          <w:sz w:val="20"/>
        </w:rPr>
        <w:fldChar w:fldCharType="end"/>
      </w:r>
      <w:r w:rsidR="008B5A87" w:rsidRPr="00A10A01">
        <w:rPr>
          <w:sz w:val="20"/>
        </w:rPr>
        <w:t>).</w:t>
      </w:r>
      <w:r w:rsidR="008B5A87">
        <w:rPr>
          <w:sz w:val="20"/>
        </w:rPr>
        <w:t xml:space="preserve"> The transfection efficiency of naked mRNA was not reduced using any tube. In contrast, the transfection efficiency of lipoplexes was decreased to </w:t>
      </w:r>
      <w:r w:rsidR="00C30568">
        <w:rPr>
          <w:sz w:val="20"/>
        </w:rPr>
        <w:t>39 %</w:t>
      </w:r>
      <w:r w:rsidR="008B5A87">
        <w:rPr>
          <w:sz w:val="20"/>
        </w:rPr>
        <w:t xml:space="preserve"> when given through the </w:t>
      </w:r>
      <w:proofErr w:type="spellStart"/>
      <w:r w:rsidR="008B5A87">
        <w:rPr>
          <w:sz w:val="20"/>
        </w:rPr>
        <w:t>Tygon</w:t>
      </w:r>
      <w:proofErr w:type="spellEnd"/>
      <w:r w:rsidR="008B5A87">
        <w:rPr>
          <w:sz w:val="20"/>
        </w:rPr>
        <w:t>® F-4040-A tube and</w:t>
      </w:r>
      <w:r w:rsidR="00C30568">
        <w:rPr>
          <w:sz w:val="20"/>
        </w:rPr>
        <w:t xml:space="preserve"> to 64 %</w:t>
      </w:r>
      <w:r w:rsidR="008B5A87">
        <w:rPr>
          <w:sz w:val="20"/>
        </w:rPr>
        <w:t xml:space="preserve"> </w:t>
      </w:r>
      <w:r w:rsidR="008A3FB2">
        <w:rPr>
          <w:sz w:val="20"/>
        </w:rPr>
        <w:t xml:space="preserve">when using </w:t>
      </w:r>
      <w:r w:rsidR="008B5A87">
        <w:rPr>
          <w:sz w:val="20"/>
        </w:rPr>
        <w:t xml:space="preserve">the silicone tube. In </w:t>
      </w:r>
      <w:r w:rsidR="008B5A87" w:rsidRPr="00A10A01">
        <w:rPr>
          <w:sz w:val="20"/>
        </w:rPr>
        <w:t>addition, the silicone tube showed higher transfection efficiency than in the previous experiment. This</w:t>
      </w:r>
      <w:r w:rsidR="008B5A87">
        <w:rPr>
          <w:sz w:val="20"/>
        </w:rPr>
        <w:t xml:space="preserve"> might be because the silicone tube was reused and the rising with RNase-free water did not remove the remaining lipids completely.</w:t>
      </w:r>
    </w:p>
    <w:p w14:paraId="23645C6E" w14:textId="069DFDDF" w:rsidR="008B5A87" w:rsidRDefault="008B5A87" w:rsidP="0016236A">
      <w:pPr>
        <w:spacing w:after="0"/>
        <w:rPr>
          <w:sz w:val="20"/>
        </w:rPr>
      </w:pPr>
      <w:r>
        <w:rPr>
          <w:sz w:val="20"/>
        </w:rPr>
        <w:t xml:space="preserve">The </w:t>
      </w:r>
      <w:proofErr w:type="spellStart"/>
      <w:r>
        <w:rPr>
          <w:sz w:val="20"/>
        </w:rPr>
        <w:t>Tygon</w:t>
      </w:r>
      <w:proofErr w:type="spellEnd"/>
      <w:r>
        <w:rPr>
          <w:sz w:val="20"/>
        </w:rPr>
        <w:t xml:space="preserve">® 2375 NSF-51 tube showed the highest and the </w:t>
      </w:r>
      <w:proofErr w:type="spellStart"/>
      <w:r>
        <w:rPr>
          <w:sz w:val="20"/>
        </w:rPr>
        <w:t>Tygon</w:t>
      </w:r>
      <w:proofErr w:type="spellEnd"/>
      <w:r>
        <w:rPr>
          <w:sz w:val="20"/>
        </w:rPr>
        <w:t xml:space="preserve">® F-4040-A tube the lowest transfection efficiency for the DOTAP:DOPE-lipoplexes. A probable reason for the low transfection efficiency of the </w:t>
      </w:r>
      <w:proofErr w:type="spellStart"/>
      <w:r>
        <w:rPr>
          <w:sz w:val="20"/>
        </w:rPr>
        <w:t>Tygon</w:t>
      </w:r>
      <w:proofErr w:type="spellEnd"/>
      <w:r>
        <w:rPr>
          <w:sz w:val="20"/>
        </w:rPr>
        <w:t xml:space="preserve">® F-4040-A tube </w:t>
      </w:r>
      <w:r w:rsidR="00A577BE">
        <w:rPr>
          <w:sz w:val="20"/>
        </w:rPr>
        <w:t xml:space="preserve">sample </w:t>
      </w:r>
      <w:r>
        <w:rPr>
          <w:sz w:val="20"/>
        </w:rPr>
        <w:t xml:space="preserve">might </w:t>
      </w:r>
      <w:r w:rsidR="00CA784A">
        <w:rPr>
          <w:sz w:val="20"/>
        </w:rPr>
        <w:t xml:space="preserve">be </w:t>
      </w:r>
      <w:r>
        <w:rPr>
          <w:sz w:val="20"/>
        </w:rPr>
        <w:t xml:space="preserve">even higher adsorption of lipids on its surface than on the silicone tube. This might lead to an insufficient amount of transfection reagent for the efficient transfection of mRNA into the Calu-3 cells and showed that the </w:t>
      </w:r>
      <w:proofErr w:type="spellStart"/>
      <w:r>
        <w:rPr>
          <w:sz w:val="20"/>
        </w:rPr>
        <w:t>Tygon</w:t>
      </w:r>
      <w:proofErr w:type="spellEnd"/>
      <w:r>
        <w:rPr>
          <w:sz w:val="20"/>
        </w:rPr>
        <w:t xml:space="preserve">® F-4040-A is not suitable for this </w:t>
      </w:r>
      <w:r w:rsidR="00CA784A">
        <w:rPr>
          <w:sz w:val="20"/>
        </w:rPr>
        <w:t>set-up</w:t>
      </w:r>
      <w:r>
        <w:rPr>
          <w:sz w:val="20"/>
        </w:rPr>
        <w:t>.</w:t>
      </w:r>
    </w:p>
    <w:p w14:paraId="5C3AAE64" w14:textId="746F3D8A" w:rsidR="008B5A87" w:rsidRPr="0038453D" w:rsidRDefault="008B5A87" w:rsidP="008B5A87">
      <w:pPr>
        <w:rPr>
          <w:rFonts w:cs="Arial"/>
          <w:color w:val="000000" w:themeColor="text1"/>
          <w:sz w:val="20"/>
        </w:rPr>
      </w:pPr>
      <w:r w:rsidRPr="00B74C92">
        <w:rPr>
          <w:sz w:val="20"/>
        </w:rPr>
        <w:t xml:space="preserve">Now, having </w:t>
      </w:r>
      <w:r>
        <w:rPr>
          <w:sz w:val="20"/>
        </w:rPr>
        <w:t>identified</w:t>
      </w:r>
      <w:r w:rsidRPr="00B74C92">
        <w:rPr>
          <w:sz w:val="20"/>
        </w:rPr>
        <w:t xml:space="preserve"> the most promising tube in terms of avoiding adsorption, the next steps are</w:t>
      </w:r>
      <w:r>
        <w:rPr>
          <w:sz w:val="20"/>
        </w:rPr>
        <w:t xml:space="preserve"> </w:t>
      </w:r>
      <w:r w:rsidRPr="00B74C92">
        <w:rPr>
          <w:sz w:val="20"/>
        </w:rPr>
        <w:t>spraying and spray drying experiments</w:t>
      </w:r>
      <w:r>
        <w:rPr>
          <w:sz w:val="20"/>
        </w:rPr>
        <w:t>, which are already in progress</w:t>
      </w:r>
      <w:r w:rsidRPr="00B74C92">
        <w:rPr>
          <w:sz w:val="20"/>
        </w:rPr>
        <w:t xml:space="preserve">. </w:t>
      </w:r>
      <w:r>
        <w:rPr>
          <w:sz w:val="20"/>
        </w:rPr>
        <w:t xml:space="preserve">When the lipids are no longer retained in the tube, we expect that the mRNA can then </w:t>
      </w:r>
      <w:r w:rsidRPr="00B74C92">
        <w:rPr>
          <w:sz w:val="20"/>
        </w:rPr>
        <w:t>be</w:t>
      </w:r>
      <w:r>
        <w:rPr>
          <w:sz w:val="20"/>
        </w:rPr>
        <w:t xml:space="preserve"> sufficiently</w:t>
      </w:r>
      <w:r w:rsidRPr="00B74C92">
        <w:rPr>
          <w:sz w:val="20"/>
        </w:rPr>
        <w:t xml:space="preserve"> transfected </w:t>
      </w:r>
      <w:r>
        <w:rPr>
          <w:sz w:val="20"/>
        </w:rPr>
        <w:t>after the spraying and spray drying process.</w:t>
      </w:r>
      <w:r w:rsidRPr="00B74C92">
        <w:rPr>
          <w:sz w:val="20"/>
        </w:rPr>
        <w:t xml:space="preserve"> A </w:t>
      </w:r>
      <w:r>
        <w:rPr>
          <w:sz w:val="20"/>
        </w:rPr>
        <w:t>critical</w:t>
      </w:r>
      <w:r w:rsidRPr="00B74C92">
        <w:rPr>
          <w:sz w:val="20"/>
        </w:rPr>
        <w:t xml:space="preserve"> aspect during the spray drying process </w:t>
      </w:r>
      <w:r>
        <w:rPr>
          <w:sz w:val="20"/>
        </w:rPr>
        <w:t xml:space="preserve">will be </w:t>
      </w:r>
      <w:r w:rsidRPr="00B74C92">
        <w:rPr>
          <w:sz w:val="20"/>
        </w:rPr>
        <w:t>the decisi</w:t>
      </w:r>
      <w:r w:rsidR="00CA784A">
        <w:rPr>
          <w:sz w:val="20"/>
        </w:rPr>
        <w:t>on on</w:t>
      </w:r>
      <w:r w:rsidRPr="00B74C92">
        <w:rPr>
          <w:sz w:val="20"/>
        </w:rPr>
        <w:t xml:space="preserve"> the process parameters. As mRNA is known </w:t>
      </w:r>
      <w:r>
        <w:rPr>
          <w:sz w:val="20"/>
        </w:rPr>
        <w:t>to be temperature sensitive</w:t>
      </w:r>
      <w:r w:rsidRPr="00B74C92">
        <w:rPr>
          <w:sz w:val="20"/>
        </w:rPr>
        <w:t xml:space="preserve">, we are going to start </w:t>
      </w:r>
      <w:r>
        <w:rPr>
          <w:sz w:val="20"/>
        </w:rPr>
        <w:t xml:space="preserve">the spray drying experiments </w:t>
      </w:r>
      <w:r w:rsidRPr="00B74C92">
        <w:rPr>
          <w:sz w:val="20"/>
        </w:rPr>
        <w:t xml:space="preserve">at an inlet temperature of 80 °C. </w:t>
      </w:r>
      <w:r>
        <w:rPr>
          <w:sz w:val="20"/>
        </w:rPr>
        <w:t>Due to evaporative cooling caused by the drying of w</w:t>
      </w:r>
      <w:r w:rsidRPr="00B74C92">
        <w:rPr>
          <w:sz w:val="20"/>
        </w:rPr>
        <w:t>ater in the sample</w:t>
      </w:r>
      <w:r>
        <w:rPr>
          <w:sz w:val="20"/>
        </w:rPr>
        <w:t>,</w:t>
      </w:r>
      <w:r w:rsidRPr="00B74C92">
        <w:rPr>
          <w:sz w:val="20"/>
        </w:rPr>
        <w:t xml:space="preserve"> the temperature of the outlet air stream </w:t>
      </w:r>
      <w:r>
        <w:rPr>
          <w:sz w:val="20"/>
        </w:rPr>
        <w:t xml:space="preserve">might be </w:t>
      </w:r>
      <w:r w:rsidRPr="00B74C92">
        <w:rPr>
          <w:sz w:val="20"/>
        </w:rPr>
        <w:t>20 to 30 °C lower</w:t>
      </w:r>
      <w:r>
        <w:rPr>
          <w:sz w:val="20"/>
        </w:rPr>
        <w:t xml:space="preserve"> and might lead to a temperature the DOTAP:DOPE-lipoplexes will tolerate. Successful spray drying of the DOTAP:DOPE-lipoplexes in the mannitol</w:t>
      </w:r>
      <w:r w:rsidR="00D151A7">
        <w:rPr>
          <w:sz w:val="20"/>
        </w:rPr>
        <w:t xml:space="preserve"> or lactose</w:t>
      </w:r>
      <w:r>
        <w:rPr>
          <w:sz w:val="20"/>
        </w:rPr>
        <w:t xml:space="preserve"> matrix to particles of a size less </w:t>
      </w:r>
      <w:r w:rsidRPr="00B54171">
        <w:rPr>
          <w:rFonts w:cs="Arial"/>
          <w:sz w:val="20"/>
        </w:rPr>
        <w:t>than 5</w:t>
      </w:r>
      <w:r>
        <w:rPr>
          <w:rFonts w:cs="Arial"/>
          <w:sz w:val="20"/>
        </w:rPr>
        <w:t> </w:t>
      </w:r>
      <w:r>
        <w:rPr>
          <w:sz w:val="20"/>
        </w:rPr>
        <w:t>µ</w:t>
      </w:r>
      <w:r>
        <w:rPr>
          <w:rFonts w:cs="Arial"/>
          <w:sz w:val="20"/>
        </w:rPr>
        <w:t xml:space="preserve">m will be </w:t>
      </w:r>
      <w:r w:rsidRPr="0038453D">
        <w:rPr>
          <w:rFonts w:cs="Arial"/>
          <w:color w:val="000000" w:themeColor="text1"/>
          <w:sz w:val="20"/>
        </w:rPr>
        <w:t xml:space="preserve">an important step in the formulation development </w:t>
      </w:r>
      <w:r w:rsidR="008A3FB2" w:rsidRPr="0038453D">
        <w:rPr>
          <w:rFonts w:cs="Arial"/>
          <w:color w:val="000000" w:themeColor="text1"/>
          <w:sz w:val="20"/>
        </w:rPr>
        <w:t>of</w:t>
      </w:r>
      <w:r w:rsidRPr="0038453D">
        <w:rPr>
          <w:rFonts w:cs="Arial"/>
          <w:color w:val="000000" w:themeColor="text1"/>
          <w:sz w:val="20"/>
        </w:rPr>
        <w:t xml:space="preserve"> an inhalable interactive powder blend.</w:t>
      </w:r>
    </w:p>
    <w:p w14:paraId="05EABBA6" w14:textId="0E9E4630" w:rsidR="00BF6110" w:rsidRPr="0038453D" w:rsidRDefault="00BF6110" w:rsidP="009204DA">
      <w:pPr>
        <w:pStyle w:val="DDLHeading1"/>
        <w:spacing w:before="0" w:after="0"/>
        <w:rPr>
          <w:color w:val="000000" w:themeColor="text1"/>
          <w:sz w:val="20"/>
        </w:rPr>
      </w:pPr>
      <w:r w:rsidRPr="0038453D">
        <w:rPr>
          <w:color w:val="000000" w:themeColor="text1"/>
          <w:sz w:val="20"/>
        </w:rPr>
        <w:t>Conclusion</w:t>
      </w:r>
    </w:p>
    <w:p w14:paraId="563EA172" w14:textId="7C6D0474" w:rsidR="0032238D" w:rsidRPr="0016236A" w:rsidRDefault="0038453D" w:rsidP="0016236A">
      <w:pPr>
        <w:rPr>
          <w:rFonts w:cs="Arial"/>
          <w:color w:val="000000" w:themeColor="text1"/>
          <w:sz w:val="20"/>
        </w:rPr>
      </w:pPr>
      <w:r>
        <w:rPr>
          <w:rFonts w:cs="Arial"/>
          <w:color w:val="000000" w:themeColor="text1"/>
          <w:sz w:val="20"/>
        </w:rPr>
        <w:t xml:space="preserve">Processing mRNA and </w:t>
      </w:r>
      <w:r w:rsidR="00B21963">
        <w:rPr>
          <w:rFonts w:cs="Arial"/>
          <w:color w:val="000000" w:themeColor="text1"/>
          <w:sz w:val="20"/>
        </w:rPr>
        <w:t xml:space="preserve">complex </w:t>
      </w:r>
      <w:r w:rsidR="0032238D">
        <w:rPr>
          <w:rFonts w:cs="Arial"/>
          <w:color w:val="000000" w:themeColor="text1"/>
          <w:sz w:val="20"/>
        </w:rPr>
        <w:t>m</w:t>
      </w:r>
      <w:r>
        <w:rPr>
          <w:rFonts w:cs="Arial"/>
          <w:color w:val="000000" w:themeColor="text1"/>
          <w:sz w:val="20"/>
        </w:rPr>
        <w:t>RNA</w:t>
      </w:r>
      <w:r w:rsidR="0032238D">
        <w:rPr>
          <w:rFonts w:cs="Arial"/>
          <w:color w:val="000000" w:themeColor="text1"/>
          <w:sz w:val="20"/>
        </w:rPr>
        <w:t>-formulations</w:t>
      </w:r>
      <w:r>
        <w:rPr>
          <w:rFonts w:cs="Arial"/>
          <w:color w:val="000000" w:themeColor="text1"/>
          <w:sz w:val="20"/>
        </w:rPr>
        <w:t xml:space="preserve"> is notoriously difficult. Throughout the entirety of the process all product contacting surfaces pose a</w:t>
      </w:r>
      <w:r w:rsidR="0032238D">
        <w:rPr>
          <w:rFonts w:cs="Arial"/>
          <w:color w:val="000000" w:themeColor="text1"/>
          <w:sz w:val="20"/>
        </w:rPr>
        <w:t>n</w:t>
      </w:r>
      <w:r>
        <w:rPr>
          <w:rFonts w:cs="Arial"/>
          <w:color w:val="000000" w:themeColor="text1"/>
          <w:sz w:val="20"/>
        </w:rPr>
        <w:t xml:space="preserve"> </w:t>
      </w:r>
      <w:r w:rsidR="0032238D">
        <w:rPr>
          <w:rFonts w:cs="Arial"/>
          <w:color w:val="000000" w:themeColor="text1"/>
          <w:sz w:val="20"/>
        </w:rPr>
        <w:t>extensive threat for the quality and functionality of the RNA-</w:t>
      </w:r>
      <w:r>
        <w:rPr>
          <w:rFonts w:cs="Arial"/>
          <w:color w:val="000000" w:themeColor="text1"/>
          <w:sz w:val="20"/>
        </w:rPr>
        <w:t xml:space="preserve">formulation. </w:t>
      </w:r>
      <w:r w:rsidR="0032238D">
        <w:rPr>
          <w:rFonts w:cs="Arial"/>
          <w:color w:val="000000" w:themeColor="text1"/>
          <w:sz w:val="20"/>
        </w:rPr>
        <w:t xml:space="preserve">One </w:t>
      </w:r>
      <w:r w:rsidR="00B21963">
        <w:rPr>
          <w:rFonts w:cs="Arial"/>
          <w:color w:val="000000" w:themeColor="text1"/>
          <w:sz w:val="20"/>
        </w:rPr>
        <w:t>pivotal</w:t>
      </w:r>
      <w:r w:rsidR="0032238D">
        <w:rPr>
          <w:rFonts w:cs="Arial"/>
          <w:color w:val="000000" w:themeColor="text1"/>
          <w:sz w:val="20"/>
        </w:rPr>
        <w:t xml:space="preserve"> issue is the adsorption of formulation components, resulting in loss</w:t>
      </w:r>
      <w:r w:rsidR="004D3178">
        <w:rPr>
          <w:rFonts w:cs="Arial"/>
          <w:color w:val="000000" w:themeColor="text1"/>
          <w:sz w:val="20"/>
        </w:rPr>
        <w:t xml:space="preserve"> of </w:t>
      </w:r>
      <w:r w:rsidR="0032238D">
        <w:rPr>
          <w:rFonts w:cs="Arial"/>
          <w:color w:val="000000" w:themeColor="text1"/>
          <w:sz w:val="20"/>
        </w:rPr>
        <w:t>function. In this study, we discovered that the adsorption of lipids on tubing material is critical for our process. We id</w:t>
      </w:r>
      <w:r w:rsidR="00BF6110" w:rsidRPr="0038453D">
        <w:rPr>
          <w:rFonts w:cs="Arial"/>
          <w:color w:val="000000" w:themeColor="text1"/>
          <w:sz w:val="20"/>
        </w:rPr>
        <w:t>entified</w:t>
      </w:r>
      <w:r w:rsidR="0032238D">
        <w:rPr>
          <w:rFonts w:cs="Arial"/>
          <w:color w:val="000000" w:themeColor="text1"/>
          <w:sz w:val="20"/>
        </w:rPr>
        <w:t xml:space="preserve"> </w:t>
      </w:r>
      <w:proofErr w:type="spellStart"/>
      <w:r w:rsidR="0032238D">
        <w:rPr>
          <w:sz w:val="20"/>
        </w:rPr>
        <w:t>Tygon</w:t>
      </w:r>
      <w:proofErr w:type="spellEnd"/>
      <w:r w:rsidR="00B21963">
        <w:rPr>
          <w:sz w:val="20"/>
        </w:rPr>
        <w:t>® 2375 NSF-51 as a suitable tubing material</w:t>
      </w:r>
      <w:r w:rsidR="0032238D">
        <w:rPr>
          <w:sz w:val="20"/>
        </w:rPr>
        <w:t xml:space="preserve"> fo</w:t>
      </w:r>
      <w:r w:rsidR="00BF6110" w:rsidRPr="0038453D">
        <w:rPr>
          <w:rFonts w:cs="Arial"/>
          <w:color w:val="000000" w:themeColor="text1"/>
          <w:sz w:val="20"/>
        </w:rPr>
        <w:t>r</w:t>
      </w:r>
      <w:r w:rsidR="00B21963">
        <w:rPr>
          <w:rFonts w:cs="Arial"/>
          <w:color w:val="000000" w:themeColor="text1"/>
          <w:sz w:val="20"/>
        </w:rPr>
        <w:t xml:space="preserve"> the handling of</w:t>
      </w:r>
      <w:r w:rsidR="0032238D">
        <w:rPr>
          <w:rFonts w:cs="Arial"/>
          <w:color w:val="000000" w:themeColor="text1"/>
          <w:sz w:val="20"/>
        </w:rPr>
        <w:t xml:space="preserve"> DOTAP:DOPE-lipoplexes.</w:t>
      </w:r>
    </w:p>
    <w:p w14:paraId="524128A4" w14:textId="24406A66" w:rsidR="007D307A" w:rsidRDefault="007D307A" w:rsidP="0016236A">
      <w:pPr>
        <w:pStyle w:val="DDLHeading1"/>
        <w:spacing w:after="0"/>
      </w:pPr>
      <w:r w:rsidRPr="00BD68AD">
        <w:t>References</w:t>
      </w:r>
    </w:p>
    <w:sectPr w:rsidR="007D307A" w:rsidSect="00B74C92">
      <w:headerReference w:type="even" r:id="rId15"/>
      <w:headerReference w:type="default" r:id="rId16"/>
      <w:endnotePr>
        <w:numFmt w:val="decimal"/>
      </w:endnotePr>
      <w:pgSz w:w="11907" w:h="16839" w:code="9"/>
      <w:pgMar w:top="1304" w:right="1304" w:bottom="1531" w:left="1531"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5FAB7" w14:textId="77777777" w:rsidR="005D6AF2" w:rsidRDefault="005D6AF2" w:rsidP="00A515A9">
      <w:pPr>
        <w:spacing w:after="0"/>
      </w:pPr>
      <w:r>
        <w:separator/>
      </w:r>
    </w:p>
  </w:endnote>
  <w:endnote w:type="continuationSeparator" w:id="0">
    <w:p w14:paraId="20415716" w14:textId="77777777" w:rsidR="005D6AF2" w:rsidRDefault="005D6AF2" w:rsidP="00A515A9">
      <w:pPr>
        <w:spacing w:after="0"/>
      </w:pPr>
      <w:r>
        <w:continuationSeparator/>
      </w:r>
    </w:p>
  </w:endnote>
  <w:endnote w:id="1">
    <w:p w14:paraId="17C14285" w14:textId="77777777" w:rsidR="006D3B24" w:rsidRPr="001C1A34" w:rsidRDefault="006D3B24" w:rsidP="00A5078D">
      <w:pPr>
        <w:pStyle w:val="DDLReferences"/>
        <w:keepNext/>
        <w:spacing w:after="0"/>
      </w:pPr>
      <w:r>
        <w:t>[</w:t>
      </w:r>
      <w:r w:rsidRPr="00D1209B">
        <w:rPr>
          <w:rStyle w:val="EndnoteReference"/>
          <w:szCs w:val="18"/>
          <w:vertAlign w:val="baseline"/>
        </w:rPr>
        <w:endnoteRef/>
      </w:r>
      <w:r>
        <w:t>]</w:t>
      </w:r>
      <w:r w:rsidRPr="00930DA1">
        <w:tab/>
      </w:r>
      <w:r>
        <w:t xml:space="preserve">Hellfritzsch M, </w:t>
      </w:r>
      <w:proofErr w:type="spellStart"/>
      <w:r>
        <w:t>Scherließ</w:t>
      </w:r>
      <w:proofErr w:type="spellEnd"/>
      <w:r>
        <w:t xml:space="preserve"> R: </w:t>
      </w:r>
      <w:r w:rsidRPr="00E3707F">
        <w:rPr>
          <w:i/>
          <w:iCs/>
        </w:rPr>
        <w:t>Mucosal Vaccination via the Respiratory Tract</w:t>
      </w:r>
      <w:r>
        <w:t>, Pharmaceutics 2019</w:t>
      </w:r>
      <w:r w:rsidRPr="00930DA1">
        <w:t>;</w:t>
      </w:r>
      <w:r>
        <w:t xml:space="preserve"> 11, 375</w:t>
      </w:r>
      <w:r w:rsidRPr="00930DA1">
        <w:t>.</w:t>
      </w:r>
    </w:p>
  </w:endnote>
  <w:endnote w:id="2">
    <w:p w14:paraId="6C219845" w14:textId="77777777" w:rsidR="006D3B24" w:rsidRPr="001C1A34" w:rsidRDefault="006D3B24" w:rsidP="00A5078D">
      <w:pPr>
        <w:pStyle w:val="DDLReferences"/>
        <w:spacing w:after="0"/>
      </w:pPr>
      <w:r>
        <w:t>[</w:t>
      </w:r>
      <w:r w:rsidRPr="00D1209B">
        <w:rPr>
          <w:rStyle w:val="EndnoteReference"/>
          <w:szCs w:val="18"/>
          <w:vertAlign w:val="baseline"/>
        </w:rPr>
        <w:endnoteRef/>
      </w:r>
      <w:r>
        <w:t>]</w:t>
      </w:r>
      <w:r w:rsidRPr="00930DA1">
        <w:tab/>
      </w:r>
      <w:proofErr w:type="spellStart"/>
      <w:r w:rsidRPr="009F5A3A">
        <w:t>Hasija</w:t>
      </w:r>
      <w:proofErr w:type="spellEnd"/>
      <w:r w:rsidRPr="009F5A3A">
        <w:t xml:space="preserve"> M, Li L, Rahman N, </w:t>
      </w:r>
      <w:proofErr w:type="spellStart"/>
      <w:r w:rsidRPr="009F5A3A">
        <w:t>Ausar</w:t>
      </w:r>
      <w:proofErr w:type="spellEnd"/>
      <w:r w:rsidRPr="009F5A3A">
        <w:t xml:space="preserve"> SF</w:t>
      </w:r>
      <w:r>
        <w:t xml:space="preserve">: </w:t>
      </w:r>
      <w:r w:rsidRPr="009F5A3A">
        <w:rPr>
          <w:i/>
          <w:iCs/>
        </w:rPr>
        <w:t>Forced degradation studies: an essential tool for the formulation development of vaccines</w:t>
      </w:r>
      <w:r>
        <w:t xml:space="preserve">, Vaccine Dev. </w:t>
      </w:r>
      <w:proofErr w:type="spellStart"/>
      <w:r>
        <w:t>Ther</w:t>
      </w:r>
      <w:proofErr w:type="spellEnd"/>
      <w:r>
        <w:t>. 2013, 3, 11.</w:t>
      </w:r>
    </w:p>
  </w:endnote>
  <w:endnote w:id="3">
    <w:p w14:paraId="5FDB727F" w14:textId="77777777" w:rsidR="006D3B24" w:rsidRPr="00DE1739" w:rsidRDefault="006D3B24" w:rsidP="00A5078D">
      <w:pPr>
        <w:pStyle w:val="EndnoteText"/>
        <w:tabs>
          <w:tab w:val="left" w:pos="284"/>
        </w:tabs>
        <w:spacing w:after="0"/>
        <w:ind w:left="284" w:hanging="284"/>
        <w:rPr>
          <w:sz w:val="16"/>
        </w:rPr>
      </w:pPr>
      <w:r w:rsidRPr="00DE1739">
        <w:rPr>
          <w:sz w:val="16"/>
        </w:rPr>
        <w:t>[</w:t>
      </w:r>
      <w:r w:rsidRPr="00DE1739">
        <w:rPr>
          <w:sz w:val="16"/>
        </w:rPr>
        <w:endnoteRef/>
      </w:r>
      <w:r w:rsidRPr="00DE1739">
        <w:rPr>
          <w:sz w:val="16"/>
        </w:rPr>
        <w:t>]</w:t>
      </w:r>
      <w:r>
        <w:rPr>
          <w:sz w:val="16"/>
        </w:rPr>
        <w:tab/>
      </w:r>
      <w:r w:rsidRPr="00DE1739">
        <w:rPr>
          <w:sz w:val="16"/>
        </w:rPr>
        <w:t>Li</w:t>
      </w:r>
      <w:r>
        <w:rPr>
          <w:sz w:val="16"/>
        </w:rPr>
        <w:t xml:space="preserve"> Y, </w:t>
      </w:r>
      <w:proofErr w:type="spellStart"/>
      <w:r w:rsidRPr="00DE1739">
        <w:rPr>
          <w:sz w:val="16"/>
        </w:rPr>
        <w:t>Tenchov</w:t>
      </w:r>
      <w:proofErr w:type="spellEnd"/>
      <w:r>
        <w:rPr>
          <w:sz w:val="16"/>
        </w:rPr>
        <w:t xml:space="preserve"> R</w:t>
      </w:r>
      <w:r w:rsidRPr="00DE1739">
        <w:rPr>
          <w:sz w:val="16"/>
        </w:rPr>
        <w:t>, Smoot</w:t>
      </w:r>
      <w:r>
        <w:rPr>
          <w:sz w:val="16"/>
        </w:rPr>
        <w:t xml:space="preserve"> J, </w:t>
      </w:r>
      <w:r w:rsidRPr="00DE1739">
        <w:rPr>
          <w:sz w:val="16"/>
        </w:rPr>
        <w:t>Liu</w:t>
      </w:r>
      <w:r>
        <w:rPr>
          <w:sz w:val="16"/>
        </w:rPr>
        <w:t xml:space="preserve"> C</w:t>
      </w:r>
      <w:r w:rsidRPr="00DE1739">
        <w:rPr>
          <w:sz w:val="16"/>
        </w:rPr>
        <w:t>, Watkins</w:t>
      </w:r>
      <w:r>
        <w:rPr>
          <w:sz w:val="16"/>
        </w:rPr>
        <w:t xml:space="preserve"> S</w:t>
      </w:r>
      <w:r w:rsidRPr="00DE1739">
        <w:rPr>
          <w:sz w:val="16"/>
        </w:rPr>
        <w:t>, Zhou</w:t>
      </w:r>
      <w:r>
        <w:rPr>
          <w:sz w:val="16"/>
        </w:rPr>
        <w:t xml:space="preserve"> Q</w:t>
      </w:r>
      <w:r w:rsidRPr="00DE1739">
        <w:rPr>
          <w:i/>
          <w:sz w:val="16"/>
        </w:rPr>
        <w:t>: A Comprehensive Review of the Global Efforts on COVID-19 Vaccine Development</w:t>
      </w:r>
      <w:r>
        <w:rPr>
          <w:sz w:val="16"/>
        </w:rPr>
        <w:t>, ACS Cent. Sci. 2021, 7, 4, 512-533.</w:t>
      </w:r>
    </w:p>
  </w:endnote>
  <w:endnote w:id="4">
    <w:p w14:paraId="00C44D7A" w14:textId="77777777" w:rsidR="006D3B24" w:rsidRPr="00DE1739" w:rsidRDefault="006D3B24" w:rsidP="00A5078D">
      <w:pPr>
        <w:pStyle w:val="DDLReferences"/>
        <w:spacing w:after="0"/>
      </w:pPr>
      <w:r>
        <w:t>[</w:t>
      </w:r>
      <w:r w:rsidRPr="00D1209B">
        <w:rPr>
          <w:rStyle w:val="EndnoteReference"/>
          <w:szCs w:val="18"/>
          <w:vertAlign w:val="baseline"/>
        </w:rPr>
        <w:endnoteRef/>
      </w:r>
      <w:r>
        <w:t>]</w:t>
      </w:r>
      <w:r w:rsidRPr="00930DA1">
        <w:tab/>
      </w:r>
      <w:r w:rsidRPr="00AE13FF">
        <w:rPr>
          <w:szCs w:val="16"/>
        </w:rPr>
        <w:t>Pardi</w:t>
      </w:r>
      <w:r>
        <w:rPr>
          <w:szCs w:val="16"/>
        </w:rPr>
        <w:t xml:space="preserve"> </w:t>
      </w:r>
      <w:r w:rsidRPr="00AE13FF">
        <w:rPr>
          <w:szCs w:val="16"/>
        </w:rPr>
        <w:t>N, Hogan M, Porter F</w:t>
      </w:r>
      <w:r>
        <w:rPr>
          <w:szCs w:val="16"/>
        </w:rPr>
        <w:t xml:space="preserve">, </w:t>
      </w:r>
      <w:proofErr w:type="spellStart"/>
      <w:r>
        <w:rPr>
          <w:szCs w:val="16"/>
        </w:rPr>
        <w:t>Weissmann</w:t>
      </w:r>
      <w:proofErr w:type="spellEnd"/>
      <w:r>
        <w:rPr>
          <w:szCs w:val="16"/>
        </w:rPr>
        <w:t xml:space="preserve"> D:</w:t>
      </w:r>
      <w:r w:rsidRPr="00AE13FF">
        <w:rPr>
          <w:szCs w:val="16"/>
        </w:rPr>
        <w:t xml:space="preserve"> </w:t>
      </w:r>
      <w:r w:rsidRPr="007D3D44">
        <w:rPr>
          <w:i/>
          <w:iCs/>
          <w:szCs w:val="16"/>
        </w:rPr>
        <w:t>mRNA vaccines — a new era in vaccinology</w:t>
      </w:r>
      <w:r>
        <w:rPr>
          <w:szCs w:val="16"/>
        </w:rPr>
        <w:t xml:space="preserve">, </w:t>
      </w:r>
      <w:r w:rsidRPr="00AE13FF">
        <w:rPr>
          <w:szCs w:val="16"/>
        </w:rPr>
        <w:t xml:space="preserve">Nat Rev Drug </w:t>
      </w:r>
      <w:proofErr w:type="spellStart"/>
      <w:r w:rsidRPr="00AE13FF">
        <w:rPr>
          <w:szCs w:val="16"/>
        </w:rPr>
        <w:t>Discov</w:t>
      </w:r>
      <w:proofErr w:type="spellEnd"/>
      <w:r w:rsidRPr="00AE13FF">
        <w:rPr>
          <w:szCs w:val="16"/>
        </w:rPr>
        <w:t xml:space="preserve"> </w:t>
      </w:r>
      <w:r>
        <w:rPr>
          <w:szCs w:val="16"/>
        </w:rPr>
        <w:t xml:space="preserve">2018, </w:t>
      </w:r>
      <w:r w:rsidRPr="00AE13FF">
        <w:rPr>
          <w:szCs w:val="16"/>
        </w:rPr>
        <w:t xml:space="preserve">17, </w:t>
      </w:r>
      <w:r w:rsidRPr="003D00D6">
        <w:t>261–279.</w:t>
      </w:r>
    </w:p>
  </w:endnote>
  <w:endnote w:id="5">
    <w:p w14:paraId="05DD04E9" w14:textId="77777777" w:rsidR="006D3B24" w:rsidRPr="003D00D6" w:rsidRDefault="006D3B24" w:rsidP="00A5078D">
      <w:pPr>
        <w:pStyle w:val="DDLReferences"/>
        <w:spacing w:after="0"/>
      </w:pPr>
      <w:r>
        <w:t>[</w:t>
      </w:r>
      <w:r w:rsidRPr="003D00D6">
        <w:endnoteRef/>
      </w:r>
      <w:r>
        <w:t>]</w:t>
      </w:r>
      <w:r w:rsidRPr="003D00D6">
        <w:t xml:space="preserve"> </w:t>
      </w:r>
      <w:r>
        <w:tab/>
      </w:r>
      <w:r w:rsidRPr="003D00D6">
        <w:t xml:space="preserve">Li Y, Bhindi R, Deng Z J, Morton S W, Hammond P T, </w:t>
      </w:r>
      <w:proofErr w:type="spellStart"/>
      <w:r w:rsidRPr="003D00D6">
        <w:t>Khachigian</w:t>
      </w:r>
      <w:proofErr w:type="spellEnd"/>
      <w:r w:rsidRPr="003D00D6">
        <w:t xml:space="preserve"> L M</w:t>
      </w:r>
      <w:r w:rsidRPr="003D00D6">
        <w:rPr>
          <w:i/>
        </w:rPr>
        <w:t>: Inhibition of vein graft stenosis with a c-</w:t>
      </w:r>
      <w:proofErr w:type="spellStart"/>
      <w:r w:rsidRPr="003D00D6">
        <w:rPr>
          <w:i/>
        </w:rPr>
        <w:t>jun</w:t>
      </w:r>
      <w:proofErr w:type="spellEnd"/>
      <w:r w:rsidRPr="003D00D6">
        <w:rPr>
          <w:i/>
        </w:rPr>
        <w:t xml:space="preserve"> targeting </w:t>
      </w:r>
      <w:proofErr w:type="spellStart"/>
      <w:r w:rsidRPr="003D00D6">
        <w:rPr>
          <w:i/>
        </w:rPr>
        <w:t>DNAzyme</w:t>
      </w:r>
      <w:proofErr w:type="spellEnd"/>
      <w:r w:rsidRPr="003D00D6">
        <w:rPr>
          <w:i/>
        </w:rPr>
        <w:t xml:space="preserve"> in a cationic liposomal formulation containing 1,2-dioleoyl-3-trimethylammonium propane (DOTAP)/1,2-dioleoyl-sn-glycero-3-phosphoethanolamine (DOPE)</w:t>
      </w:r>
      <w:r w:rsidRPr="003D00D6">
        <w:t>,</w:t>
      </w:r>
      <w:r>
        <w:t xml:space="preserve"> Int. J. </w:t>
      </w:r>
      <w:proofErr w:type="spellStart"/>
      <w:r>
        <w:t>Cardiol</w:t>
      </w:r>
      <w:proofErr w:type="spellEnd"/>
      <w:r>
        <w:t>., 2013, 168, 4, 3659-3664,</w:t>
      </w:r>
    </w:p>
  </w:endnote>
  <w:endnote w:id="6">
    <w:p w14:paraId="0B120BFB" w14:textId="77777777" w:rsidR="006D3B24" w:rsidRPr="001B34C3" w:rsidRDefault="006D3B24" w:rsidP="00A5078D">
      <w:pPr>
        <w:pStyle w:val="EndnoteText"/>
        <w:tabs>
          <w:tab w:val="left" w:pos="284"/>
        </w:tabs>
        <w:spacing w:after="0"/>
        <w:ind w:left="284" w:hanging="284"/>
        <w:rPr>
          <w:sz w:val="16"/>
          <w:szCs w:val="16"/>
        </w:rPr>
      </w:pPr>
      <w:r w:rsidRPr="001B34C3">
        <w:rPr>
          <w:sz w:val="16"/>
          <w:szCs w:val="16"/>
        </w:rPr>
        <w:t>[</w:t>
      </w:r>
      <w:r w:rsidRPr="001B34C3">
        <w:rPr>
          <w:sz w:val="16"/>
          <w:szCs w:val="16"/>
        </w:rPr>
        <w:endnoteRef/>
      </w:r>
      <w:r w:rsidRPr="001B34C3">
        <w:rPr>
          <w:sz w:val="16"/>
          <w:szCs w:val="16"/>
        </w:rPr>
        <w:t>]</w:t>
      </w:r>
      <w:r>
        <w:rPr>
          <w:sz w:val="16"/>
          <w:szCs w:val="16"/>
        </w:rPr>
        <w:tab/>
      </w:r>
      <w:proofErr w:type="spellStart"/>
      <w:r w:rsidRPr="001B34C3">
        <w:rPr>
          <w:sz w:val="16"/>
          <w:szCs w:val="16"/>
        </w:rPr>
        <w:t>Schembera</w:t>
      </w:r>
      <w:proofErr w:type="spellEnd"/>
      <w:r w:rsidRPr="001B34C3">
        <w:rPr>
          <w:sz w:val="16"/>
          <w:szCs w:val="16"/>
        </w:rPr>
        <w:t xml:space="preserve"> J, </w:t>
      </w:r>
      <w:proofErr w:type="spellStart"/>
      <w:r w:rsidRPr="001B34C3">
        <w:rPr>
          <w:sz w:val="16"/>
          <w:szCs w:val="16"/>
        </w:rPr>
        <w:t>Scherließ</w:t>
      </w:r>
      <w:proofErr w:type="spellEnd"/>
      <w:r w:rsidRPr="001B34C3">
        <w:rPr>
          <w:sz w:val="16"/>
          <w:szCs w:val="16"/>
        </w:rPr>
        <w:t xml:space="preserve"> R: </w:t>
      </w:r>
      <w:r w:rsidRPr="003D00D6">
        <w:rPr>
          <w:i/>
          <w:sz w:val="16"/>
          <w:szCs w:val="16"/>
        </w:rPr>
        <w:t>Transfection of Calu-3 cells with mRNA/DOTAP:DOPE-lipoplexes:</w:t>
      </w:r>
      <w:r w:rsidRPr="003D00D6">
        <w:rPr>
          <w:i/>
          <w:iCs/>
          <w:sz w:val="16"/>
          <w:szCs w:val="16"/>
        </w:rPr>
        <w:t xml:space="preserve"> influence</w:t>
      </w:r>
      <w:r w:rsidRPr="001B34C3">
        <w:rPr>
          <w:i/>
          <w:iCs/>
          <w:sz w:val="16"/>
          <w:szCs w:val="16"/>
        </w:rPr>
        <w:t xml:space="preserve"> of weight ratio and forming media</w:t>
      </w:r>
      <w:r w:rsidRPr="001B34C3">
        <w:rPr>
          <w:sz w:val="16"/>
          <w:szCs w:val="16"/>
        </w:rPr>
        <w:t xml:space="preserve">, Presented at: PBP </w:t>
      </w:r>
      <w:proofErr w:type="spellStart"/>
      <w:r w:rsidRPr="001B34C3">
        <w:rPr>
          <w:sz w:val="16"/>
          <w:szCs w:val="16"/>
        </w:rPr>
        <w:t>Worldmeeting</w:t>
      </w:r>
      <w:proofErr w:type="spellEnd"/>
      <w:r w:rsidRPr="001B34C3">
        <w:rPr>
          <w:sz w:val="16"/>
          <w:szCs w:val="16"/>
        </w:rPr>
        <w:t xml:space="preserve"> 2022, Rotterdam, The Netherlands, March 28-31, 2022.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AB52A" w14:textId="77777777" w:rsidR="005D6AF2" w:rsidRDefault="005D6AF2" w:rsidP="00A515A9">
      <w:pPr>
        <w:spacing w:after="0"/>
      </w:pPr>
      <w:r>
        <w:separator/>
      </w:r>
    </w:p>
  </w:footnote>
  <w:footnote w:type="continuationSeparator" w:id="0">
    <w:p w14:paraId="07084C48" w14:textId="77777777" w:rsidR="005D6AF2" w:rsidRDefault="005D6AF2" w:rsidP="00A515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3ED70" w14:textId="41A1CD9E" w:rsidR="006D3B24" w:rsidRPr="003C58EE" w:rsidRDefault="006D3B24" w:rsidP="00964A86">
    <w:pPr>
      <w:pStyle w:val="Header"/>
      <w:pBdr>
        <w:bottom w:val="single" w:sz="6" w:space="1" w:color="auto"/>
      </w:pBdr>
      <w:jc w:val="left"/>
      <w:rPr>
        <w:i/>
      </w:rPr>
    </w:pPr>
    <w:r w:rsidRPr="003C58EE">
      <w:rPr>
        <w:i/>
      </w:rPr>
      <w:t xml:space="preserve">Drug Delivery to the Lungs, Volume 33, 2022 - </w:t>
    </w:r>
    <w:r w:rsidRPr="003C58EE">
      <w:rPr>
        <w:i/>
      </w:rPr>
      <w:fldChar w:fldCharType="begin"/>
    </w:r>
    <w:r w:rsidRPr="003C58EE">
      <w:rPr>
        <w:i/>
      </w:rPr>
      <w:instrText xml:space="preserve"> REF Title \h  \* MERGEFORMAT </w:instrText>
    </w:r>
    <w:r w:rsidRPr="003C58EE">
      <w:rPr>
        <w:i/>
      </w:rPr>
    </w:r>
    <w:r w:rsidRPr="003C58EE">
      <w:rPr>
        <w:i/>
      </w:rPr>
      <w:fldChar w:fldCharType="separate"/>
    </w:r>
    <w:sdt>
      <w:sdtPr>
        <w:rPr>
          <w:i/>
        </w:rPr>
        <w:alias w:val="Title"/>
        <w:tag w:val="Title"/>
        <w:id w:val="-1581825711"/>
        <w:lock w:val="sdtLocked"/>
        <w:placeholder>
          <w:docPart w:val="DB4FFB970BC84A61AC1D2BA9F92CDD55"/>
        </w:placeholder>
      </w:sdtPr>
      <w:sdtEndPr>
        <w:rPr>
          <w:i w:val="0"/>
          <w:sz w:val="20"/>
        </w:rPr>
      </w:sdtEndPr>
      <w:sdtContent>
        <w:r w:rsidRPr="00257899">
          <w:rPr>
            <w:rStyle w:val="PlaceholderText"/>
            <w:i/>
            <w:color w:val="auto"/>
          </w:rPr>
          <w:t>A functional study of</w:t>
        </w:r>
        <w:r w:rsidRPr="00257899">
          <w:rPr>
            <w:rStyle w:val="PlaceholderText"/>
            <w:i/>
          </w:rPr>
          <w:t xml:space="preserve"> </w:t>
        </w:r>
        <w:r w:rsidRPr="00EF6AB3">
          <w:rPr>
            <w:sz w:val="20"/>
          </w:rPr>
          <w:t>tubing material for</w:t>
        </w:r>
        <w:r>
          <w:rPr>
            <w:sz w:val="20"/>
          </w:rPr>
          <w:t xml:space="preserve"> the</w:t>
        </w:r>
        <w:r w:rsidRPr="00EF6AB3">
          <w:rPr>
            <w:sz w:val="20"/>
          </w:rPr>
          <w:t xml:space="preserve"> spray drying of mRNA-lipoplexes</w:t>
        </w:r>
      </w:sdtContent>
    </w:sdt>
    <w:r w:rsidRPr="003C58EE">
      <w:rPr>
        <w:i/>
      </w:rPr>
      <w:fldChar w:fldCharType="end"/>
    </w:r>
    <w:r>
      <w:rPr>
        <w: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6CE15" w14:textId="58D157D8" w:rsidR="006D3B24" w:rsidRPr="00964A86" w:rsidRDefault="006D3B24" w:rsidP="00964A86">
    <w:pPr>
      <w:pStyle w:val="Header"/>
      <w:pBdr>
        <w:bottom w:val="single" w:sz="6" w:space="1" w:color="auto"/>
      </w:pBdr>
      <w:rPr>
        <w:i/>
      </w:rPr>
    </w:pPr>
    <w:r>
      <w:rPr>
        <w:i/>
      </w:rPr>
      <w:t>Drug Delivery to the Lungs, Volume 33</w:t>
    </w:r>
    <w:r w:rsidRPr="00964A86">
      <w:rPr>
        <w:i/>
      </w:rPr>
      <w:t>, 20</w:t>
    </w:r>
    <w:r>
      <w:rPr>
        <w:i/>
      </w:rPr>
      <w:t>22</w:t>
    </w:r>
    <w:r w:rsidRPr="00964A86">
      <w:rPr>
        <w:i/>
      </w:rPr>
      <w:t xml:space="preserve"> - </w:t>
    </w:r>
    <w:r w:rsidRPr="00BD7DE3">
      <w:rPr>
        <w:i/>
      </w:rPr>
      <w:fldChar w:fldCharType="begin"/>
    </w:r>
    <w:r w:rsidRPr="00BD7DE3">
      <w:rPr>
        <w:i/>
      </w:rPr>
      <w:instrText xml:space="preserve"> REF Author \h  \* MERGEFORMAT </w:instrText>
    </w:r>
    <w:r w:rsidRPr="00BD7DE3">
      <w:rPr>
        <w:i/>
      </w:rPr>
    </w:r>
    <w:r w:rsidRPr="00BD7DE3">
      <w:rPr>
        <w:i/>
      </w:rPr>
      <w:fldChar w:fldCharType="separate"/>
    </w:r>
    <w:sdt>
      <w:sdtPr>
        <w:rPr>
          <w:i/>
        </w:rPr>
        <w:alias w:val="Main Author"/>
        <w:tag w:val="Main Author"/>
        <w:id w:val="-648128970"/>
        <w:lock w:val="sdtLocked"/>
        <w:placeholder>
          <w:docPart w:val="1228AE59C14E44A093FBC30EE833E25A"/>
        </w:placeholder>
      </w:sdtPr>
      <w:sdtEndPr>
        <w:rPr>
          <w:rStyle w:val="PlaceholderText"/>
          <w:color w:val="808080"/>
        </w:rPr>
      </w:sdtEndPr>
      <w:sdtContent>
        <w:r w:rsidRPr="00257899">
          <w:rPr>
            <w:rStyle w:val="PlaceholderText"/>
            <w:i/>
            <w:color w:val="auto"/>
          </w:rPr>
          <w:t xml:space="preserve">Jana </w:t>
        </w:r>
        <w:proofErr w:type="spellStart"/>
        <w:r w:rsidRPr="00257899">
          <w:rPr>
            <w:rStyle w:val="PlaceholderText"/>
            <w:i/>
            <w:color w:val="auto"/>
          </w:rPr>
          <w:t>Schembera</w:t>
        </w:r>
        <w:proofErr w:type="spellEnd"/>
      </w:sdtContent>
    </w:sdt>
    <w:r w:rsidRPr="00BD7DE3">
      <w:rPr>
        <w:i/>
      </w:rPr>
      <w:fldChar w:fldCharType="end"/>
    </w:r>
    <w:r w:rsidRPr="00BD7DE3">
      <w:rPr>
        <w:i/>
      </w:rPr>
      <w:t xml:space="preserve">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A48BE"/>
    <w:multiLevelType w:val="singleLevel"/>
    <w:tmpl w:val="E01298FA"/>
    <w:lvl w:ilvl="0">
      <w:start w:val="4"/>
      <w:numFmt w:val="decimal"/>
      <w:lvlText w:val="%1."/>
      <w:lvlJc w:val="left"/>
      <w:pPr>
        <w:tabs>
          <w:tab w:val="num" w:pos="720"/>
        </w:tabs>
        <w:ind w:left="720" w:hanging="720"/>
      </w:pPr>
      <w:rPr>
        <w:rFonts w:hint="default"/>
      </w:rPr>
    </w:lvl>
  </w:abstractNum>
  <w:abstractNum w:abstractNumId="1" w15:restartNumberingAfterBreak="0">
    <w:nsid w:val="4D2838E3"/>
    <w:multiLevelType w:val="hybridMultilevel"/>
    <w:tmpl w:val="273A5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117410"/>
    <w:multiLevelType w:val="hybridMultilevel"/>
    <w:tmpl w:val="3098A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49C5B5C"/>
    <w:multiLevelType w:val="hybridMultilevel"/>
    <w:tmpl w:val="F4D2D526"/>
    <w:lvl w:ilvl="0" w:tplc="D310CAD2">
      <w:start w:val="1"/>
      <w:numFmt w:val="bullet"/>
      <w:pStyle w:val="DD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387F93"/>
    <w:multiLevelType w:val="singleLevel"/>
    <w:tmpl w:val="153E676C"/>
    <w:lvl w:ilvl="0">
      <w:start w:val="1"/>
      <w:numFmt w:val="decimal"/>
      <w:lvlText w:val="%1."/>
      <w:lvlJc w:val="left"/>
      <w:pPr>
        <w:tabs>
          <w:tab w:val="num" w:pos="720"/>
        </w:tabs>
        <w:ind w:left="720" w:hanging="720"/>
      </w:pPr>
      <w:rPr>
        <w:rFonts w:hint="default"/>
      </w:rPr>
    </w:lvl>
  </w:abstractNum>
  <w:num w:numId="1" w16cid:durableId="24989371">
    <w:abstractNumId w:val="4"/>
  </w:num>
  <w:num w:numId="2" w16cid:durableId="850073644">
    <w:abstractNumId w:val="0"/>
  </w:num>
  <w:num w:numId="3" w16cid:durableId="1382971839">
    <w:abstractNumId w:val="2"/>
  </w:num>
  <w:num w:numId="4" w16cid:durableId="959651465">
    <w:abstractNumId w:val="3"/>
  </w:num>
  <w:num w:numId="5" w16cid:durableId="1803183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7D5"/>
    <w:rsid w:val="0000715D"/>
    <w:rsid w:val="0001616D"/>
    <w:rsid w:val="00016641"/>
    <w:rsid w:val="00026D65"/>
    <w:rsid w:val="000306D5"/>
    <w:rsid w:val="00032260"/>
    <w:rsid w:val="000352A9"/>
    <w:rsid w:val="000404D5"/>
    <w:rsid w:val="00042D62"/>
    <w:rsid w:val="00054372"/>
    <w:rsid w:val="0006467A"/>
    <w:rsid w:val="000A2590"/>
    <w:rsid w:val="000E77D5"/>
    <w:rsid w:val="00116C40"/>
    <w:rsid w:val="0012224E"/>
    <w:rsid w:val="00122A1D"/>
    <w:rsid w:val="00122F8B"/>
    <w:rsid w:val="00134FB6"/>
    <w:rsid w:val="0014317B"/>
    <w:rsid w:val="0015066F"/>
    <w:rsid w:val="001516A0"/>
    <w:rsid w:val="00160344"/>
    <w:rsid w:val="001604DB"/>
    <w:rsid w:val="00161C6E"/>
    <w:rsid w:val="0016236A"/>
    <w:rsid w:val="00163258"/>
    <w:rsid w:val="001942DB"/>
    <w:rsid w:val="001943ED"/>
    <w:rsid w:val="001B0E1B"/>
    <w:rsid w:val="001B2389"/>
    <w:rsid w:val="001B34C3"/>
    <w:rsid w:val="001B65D8"/>
    <w:rsid w:val="001C0570"/>
    <w:rsid w:val="001C1A34"/>
    <w:rsid w:val="001E003B"/>
    <w:rsid w:val="001F1DA7"/>
    <w:rsid w:val="001F70F6"/>
    <w:rsid w:val="001F79B3"/>
    <w:rsid w:val="00217845"/>
    <w:rsid w:val="00227B45"/>
    <w:rsid w:val="00231C18"/>
    <w:rsid w:val="002460E3"/>
    <w:rsid w:val="00257899"/>
    <w:rsid w:val="00265743"/>
    <w:rsid w:val="002666D8"/>
    <w:rsid w:val="00271627"/>
    <w:rsid w:val="002773DB"/>
    <w:rsid w:val="00282D64"/>
    <w:rsid w:val="00283F05"/>
    <w:rsid w:val="00287EA3"/>
    <w:rsid w:val="0029067A"/>
    <w:rsid w:val="002A3E34"/>
    <w:rsid w:val="002B55E6"/>
    <w:rsid w:val="002B74ED"/>
    <w:rsid w:val="002D4B0C"/>
    <w:rsid w:val="002E0597"/>
    <w:rsid w:val="002E4440"/>
    <w:rsid w:val="002E5735"/>
    <w:rsid w:val="002E77AE"/>
    <w:rsid w:val="002F2FE8"/>
    <w:rsid w:val="002F38E3"/>
    <w:rsid w:val="002F5DAD"/>
    <w:rsid w:val="0030069B"/>
    <w:rsid w:val="00311E4A"/>
    <w:rsid w:val="0031528C"/>
    <w:rsid w:val="0032238D"/>
    <w:rsid w:val="00323FE7"/>
    <w:rsid w:val="0033185B"/>
    <w:rsid w:val="00336CF0"/>
    <w:rsid w:val="00337511"/>
    <w:rsid w:val="00344692"/>
    <w:rsid w:val="0034725F"/>
    <w:rsid w:val="00355B39"/>
    <w:rsid w:val="003575A7"/>
    <w:rsid w:val="00382FD0"/>
    <w:rsid w:val="0038453D"/>
    <w:rsid w:val="00387ECA"/>
    <w:rsid w:val="0039248E"/>
    <w:rsid w:val="003A579D"/>
    <w:rsid w:val="003B1031"/>
    <w:rsid w:val="003B383B"/>
    <w:rsid w:val="003B5064"/>
    <w:rsid w:val="003B65D1"/>
    <w:rsid w:val="003C21CD"/>
    <w:rsid w:val="003C568E"/>
    <w:rsid w:val="003C58EE"/>
    <w:rsid w:val="003C6A3B"/>
    <w:rsid w:val="003D00D6"/>
    <w:rsid w:val="003D10FC"/>
    <w:rsid w:val="003D3DDE"/>
    <w:rsid w:val="003D7C47"/>
    <w:rsid w:val="003E4A22"/>
    <w:rsid w:val="003E5D10"/>
    <w:rsid w:val="003F37A9"/>
    <w:rsid w:val="00403420"/>
    <w:rsid w:val="00404A4E"/>
    <w:rsid w:val="0041018A"/>
    <w:rsid w:val="00424C98"/>
    <w:rsid w:val="00427F09"/>
    <w:rsid w:val="00442036"/>
    <w:rsid w:val="00442F5A"/>
    <w:rsid w:val="00444A63"/>
    <w:rsid w:val="00445817"/>
    <w:rsid w:val="00447700"/>
    <w:rsid w:val="00451D1F"/>
    <w:rsid w:val="00467D22"/>
    <w:rsid w:val="00476DA6"/>
    <w:rsid w:val="00490C5A"/>
    <w:rsid w:val="00496006"/>
    <w:rsid w:val="004A2E3F"/>
    <w:rsid w:val="004A3C43"/>
    <w:rsid w:val="004A462F"/>
    <w:rsid w:val="004A684A"/>
    <w:rsid w:val="004B2051"/>
    <w:rsid w:val="004B6D88"/>
    <w:rsid w:val="004C1847"/>
    <w:rsid w:val="004C3A70"/>
    <w:rsid w:val="004C4FAB"/>
    <w:rsid w:val="004C7A23"/>
    <w:rsid w:val="004D2611"/>
    <w:rsid w:val="004D3178"/>
    <w:rsid w:val="004D70B6"/>
    <w:rsid w:val="004F03DD"/>
    <w:rsid w:val="004F1D4F"/>
    <w:rsid w:val="004F7E1D"/>
    <w:rsid w:val="004F7F64"/>
    <w:rsid w:val="005302DC"/>
    <w:rsid w:val="005303CA"/>
    <w:rsid w:val="00532632"/>
    <w:rsid w:val="005357DB"/>
    <w:rsid w:val="00541F41"/>
    <w:rsid w:val="00544864"/>
    <w:rsid w:val="00544FB7"/>
    <w:rsid w:val="00564EBF"/>
    <w:rsid w:val="00565D5A"/>
    <w:rsid w:val="00570612"/>
    <w:rsid w:val="00582113"/>
    <w:rsid w:val="00587281"/>
    <w:rsid w:val="00591DC8"/>
    <w:rsid w:val="00593A46"/>
    <w:rsid w:val="00596663"/>
    <w:rsid w:val="005B5FD9"/>
    <w:rsid w:val="005D1383"/>
    <w:rsid w:val="005D441D"/>
    <w:rsid w:val="005D6AF2"/>
    <w:rsid w:val="005F0641"/>
    <w:rsid w:val="005F4472"/>
    <w:rsid w:val="005F6322"/>
    <w:rsid w:val="006047B7"/>
    <w:rsid w:val="00613573"/>
    <w:rsid w:val="006220F6"/>
    <w:rsid w:val="00623DF2"/>
    <w:rsid w:val="006306F3"/>
    <w:rsid w:val="00631B86"/>
    <w:rsid w:val="00642787"/>
    <w:rsid w:val="00660395"/>
    <w:rsid w:val="0066450A"/>
    <w:rsid w:val="00671088"/>
    <w:rsid w:val="00676DA7"/>
    <w:rsid w:val="00677708"/>
    <w:rsid w:val="00680144"/>
    <w:rsid w:val="00681A20"/>
    <w:rsid w:val="00686D0B"/>
    <w:rsid w:val="00690B49"/>
    <w:rsid w:val="006946AD"/>
    <w:rsid w:val="00697AE7"/>
    <w:rsid w:val="006A102D"/>
    <w:rsid w:val="006A7D26"/>
    <w:rsid w:val="006B12B5"/>
    <w:rsid w:val="006B3D22"/>
    <w:rsid w:val="006C2296"/>
    <w:rsid w:val="006C64A1"/>
    <w:rsid w:val="006C6A23"/>
    <w:rsid w:val="006D1F88"/>
    <w:rsid w:val="006D3B24"/>
    <w:rsid w:val="006D68B0"/>
    <w:rsid w:val="006E1C6F"/>
    <w:rsid w:val="006E37F2"/>
    <w:rsid w:val="006F0288"/>
    <w:rsid w:val="00702C8D"/>
    <w:rsid w:val="00703E71"/>
    <w:rsid w:val="0070763C"/>
    <w:rsid w:val="00711C1F"/>
    <w:rsid w:val="007146F5"/>
    <w:rsid w:val="00715F4B"/>
    <w:rsid w:val="00717E47"/>
    <w:rsid w:val="00734E6B"/>
    <w:rsid w:val="0076062C"/>
    <w:rsid w:val="00764000"/>
    <w:rsid w:val="00771FD4"/>
    <w:rsid w:val="007735FD"/>
    <w:rsid w:val="00781E78"/>
    <w:rsid w:val="0078212D"/>
    <w:rsid w:val="00784010"/>
    <w:rsid w:val="00787F68"/>
    <w:rsid w:val="007A5B67"/>
    <w:rsid w:val="007A5E50"/>
    <w:rsid w:val="007B2BEC"/>
    <w:rsid w:val="007B5EA3"/>
    <w:rsid w:val="007D307A"/>
    <w:rsid w:val="007D3D44"/>
    <w:rsid w:val="007D4B54"/>
    <w:rsid w:val="007E2F09"/>
    <w:rsid w:val="007E3087"/>
    <w:rsid w:val="007E4351"/>
    <w:rsid w:val="007E68E3"/>
    <w:rsid w:val="00802C7D"/>
    <w:rsid w:val="00804EEB"/>
    <w:rsid w:val="008050EA"/>
    <w:rsid w:val="008131A8"/>
    <w:rsid w:val="00821655"/>
    <w:rsid w:val="00836B77"/>
    <w:rsid w:val="00837ED2"/>
    <w:rsid w:val="008443EE"/>
    <w:rsid w:val="0084598F"/>
    <w:rsid w:val="00852676"/>
    <w:rsid w:val="00860916"/>
    <w:rsid w:val="00864F3E"/>
    <w:rsid w:val="00866471"/>
    <w:rsid w:val="00870B52"/>
    <w:rsid w:val="00881895"/>
    <w:rsid w:val="0089147A"/>
    <w:rsid w:val="008A3FB2"/>
    <w:rsid w:val="008B02F1"/>
    <w:rsid w:val="008B4BF0"/>
    <w:rsid w:val="008B5A87"/>
    <w:rsid w:val="008C2258"/>
    <w:rsid w:val="008C5C57"/>
    <w:rsid w:val="008C62DD"/>
    <w:rsid w:val="008C7F2D"/>
    <w:rsid w:val="008D115B"/>
    <w:rsid w:val="008D4D8B"/>
    <w:rsid w:val="008D58BA"/>
    <w:rsid w:val="008D6CCA"/>
    <w:rsid w:val="008D7F19"/>
    <w:rsid w:val="008E0EC0"/>
    <w:rsid w:val="008F2A41"/>
    <w:rsid w:val="00912E3B"/>
    <w:rsid w:val="009204DA"/>
    <w:rsid w:val="00930DA1"/>
    <w:rsid w:val="00932B28"/>
    <w:rsid w:val="0093458B"/>
    <w:rsid w:val="00941946"/>
    <w:rsid w:val="00943E09"/>
    <w:rsid w:val="0095324F"/>
    <w:rsid w:val="00960AE2"/>
    <w:rsid w:val="00961756"/>
    <w:rsid w:val="00964A86"/>
    <w:rsid w:val="00966CD3"/>
    <w:rsid w:val="00974E37"/>
    <w:rsid w:val="009818AC"/>
    <w:rsid w:val="00990C1E"/>
    <w:rsid w:val="00996628"/>
    <w:rsid w:val="009A0009"/>
    <w:rsid w:val="009A1638"/>
    <w:rsid w:val="009A4453"/>
    <w:rsid w:val="009A52B9"/>
    <w:rsid w:val="009A5E01"/>
    <w:rsid w:val="009C44B9"/>
    <w:rsid w:val="009C5607"/>
    <w:rsid w:val="009C6C08"/>
    <w:rsid w:val="009D1A31"/>
    <w:rsid w:val="009D1CB7"/>
    <w:rsid w:val="009D5953"/>
    <w:rsid w:val="009D6395"/>
    <w:rsid w:val="009D77B3"/>
    <w:rsid w:val="009E0283"/>
    <w:rsid w:val="009E3447"/>
    <w:rsid w:val="009E7542"/>
    <w:rsid w:val="009F3420"/>
    <w:rsid w:val="009F5A3A"/>
    <w:rsid w:val="00A0358B"/>
    <w:rsid w:val="00A10A01"/>
    <w:rsid w:val="00A13504"/>
    <w:rsid w:val="00A14F14"/>
    <w:rsid w:val="00A31D7E"/>
    <w:rsid w:val="00A407ED"/>
    <w:rsid w:val="00A46CDC"/>
    <w:rsid w:val="00A46DAE"/>
    <w:rsid w:val="00A5078D"/>
    <w:rsid w:val="00A515A9"/>
    <w:rsid w:val="00A577BE"/>
    <w:rsid w:val="00A6010C"/>
    <w:rsid w:val="00A66E7C"/>
    <w:rsid w:val="00A67298"/>
    <w:rsid w:val="00A74531"/>
    <w:rsid w:val="00A938EF"/>
    <w:rsid w:val="00A94905"/>
    <w:rsid w:val="00AA1175"/>
    <w:rsid w:val="00AA74BE"/>
    <w:rsid w:val="00AB6121"/>
    <w:rsid w:val="00AC04A2"/>
    <w:rsid w:val="00AC217B"/>
    <w:rsid w:val="00AD115D"/>
    <w:rsid w:val="00AE13FF"/>
    <w:rsid w:val="00AE7D6E"/>
    <w:rsid w:val="00AF2EC7"/>
    <w:rsid w:val="00AF6D92"/>
    <w:rsid w:val="00B06A97"/>
    <w:rsid w:val="00B11EB5"/>
    <w:rsid w:val="00B122AD"/>
    <w:rsid w:val="00B13E9B"/>
    <w:rsid w:val="00B1440A"/>
    <w:rsid w:val="00B21963"/>
    <w:rsid w:val="00B25272"/>
    <w:rsid w:val="00B25B95"/>
    <w:rsid w:val="00B25D1B"/>
    <w:rsid w:val="00B412B3"/>
    <w:rsid w:val="00B42A7F"/>
    <w:rsid w:val="00B5120E"/>
    <w:rsid w:val="00B51733"/>
    <w:rsid w:val="00B52E1C"/>
    <w:rsid w:val="00B54171"/>
    <w:rsid w:val="00B54843"/>
    <w:rsid w:val="00B55646"/>
    <w:rsid w:val="00B628F0"/>
    <w:rsid w:val="00B719D1"/>
    <w:rsid w:val="00B749CA"/>
    <w:rsid w:val="00B74C92"/>
    <w:rsid w:val="00B804AB"/>
    <w:rsid w:val="00B906A5"/>
    <w:rsid w:val="00B94313"/>
    <w:rsid w:val="00BA1A6E"/>
    <w:rsid w:val="00BB2738"/>
    <w:rsid w:val="00BB33A4"/>
    <w:rsid w:val="00BC0021"/>
    <w:rsid w:val="00BC30C2"/>
    <w:rsid w:val="00BC3B49"/>
    <w:rsid w:val="00BD68AD"/>
    <w:rsid w:val="00BD70D3"/>
    <w:rsid w:val="00BD7DE3"/>
    <w:rsid w:val="00BE7D59"/>
    <w:rsid w:val="00BF6110"/>
    <w:rsid w:val="00BF67E7"/>
    <w:rsid w:val="00C0283C"/>
    <w:rsid w:val="00C126B9"/>
    <w:rsid w:val="00C15EB4"/>
    <w:rsid w:val="00C30568"/>
    <w:rsid w:val="00C4032A"/>
    <w:rsid w:val="00C543B6"/>
    <w:rsid w:val="00C5513E"/>
    <w:rsid w:val="00C56960"/>
    <w:rsid w:val="00C65A37"/>
    <w:rsid w:val="00C6681A"/>
    <w:rsid w:val="00C900EF"/>
    <w:rsid w:val="00C907FD"/>
    <w:rsid w:val="00C974E1"/>
    <w:rsid w:val="00CA784A"/>
    <w:rsid w:val="00CB3B32"/>
    <w:rsid w:val="00CC4C91"/>
    <w:rsid w:val="00CC51F4"/>
    <w:rsid w:val="00CD6ACD"/>
    <w:rsid w:val="00CE1A8C"/>
    <w:rsid w:val="00CE39C8"/>
    <w:rsid w:val="00CF069C"/>
    <w:rsid w:val="00CF24A7"/>
    <w:rsid w:val="00CF74C4"/>
    <w:rsid w:val="00CF7D1B"/>
    <w:rsid w:val="00D075F7"/>
    <w:rsid w:val="00D10D19"/>
    <w:rsid w:val="00D1209B"/>
    <w:rsid w:val="00D151A7"/>
    <w:rsid w:val="00D156FE"/>
    <w:rsid w:val="00D228B4"/>
    <w:rsid w:val="00D23C41"/>
    <w:rsid w:val="00D25DCB"/>
    <w:rsid w:val="00D26210"/>
    <w:rsid w:val="00D31AA9"/>
    <w:rsid w:val="00D32629"/>
    <w:rsid w:val="00D403CA"/>
    <w:rsid w:val="00D41A7C"/>
    <w:rsid w:val="00D430D0"/>
    <w:rsid w:val="00D47884"/>
    <w:rsid w:val="00D54376"/>
    <w:rsid w:val="00D566D3"/>
    <w:rsid w:val="00D67A60"/>
    <w:rsid w:val="00D85CE6"/>
    <w:rsid w:val="00D93537"/>
    <w:rsid w:val="00D9655E"/>
    <w:rsid w:val="00DB10E2"/>
    <w:rsid w:val="00DB349E"/>
    <w:rsid w:val="00DB729D"/>
    <w:rsid w:val="00DC73F1"/>
    <w:rsid w:val="00DD4A2D"/>
    <w:rsid w:val="00DD5EB8"/>
    <w:rsid w:val="00DE0973"/>
    <w:rsid w:val="00DE1739"/>
    <w:rsid w:val="00DE53F7"/>
    <w:rsid w:val="00DE6AE7"/>
    <w:rsid w:val="00DF1745"/>
    <w:rsid w:val="00DF392A"/>
    <w:rsid w:val="00DF41AE"/>
    <w:rsid w:val="00E00624"/>
    <w:rsid w:val="00E108CE"/>
    <w:rsid w:val="00E12FE4"/>
    <w:rsid w:val="00E14DBF"/>
    <w:rsid w:val="00E209D7"/>
    <w:rsid w:val="00E23F0B"/>
    <w:rsid w:val="00E2779F"/>
    <w:rsid w:val="00E3475F"/>
    <w:rsid w:val="00E3707F"/>
    <w:rsid w:val="00E37C6D"/>
    <w:rsid w:val="00E42945"/>
    <w:rsid w:val="00E51903"/>
    <w:rsid w:val="00E62590"/>
    <w:rsid w:val="00E83452"/>
    <w:rsid w:val="00E92E0B"/>
    <w:rsid w:val="00E92FCA"/>
    <w:rsid w:val="00E9667D"/>
    <w:rsid w:val="00E97489"/>
    <w:rsid w:val="00EA530D"/>
    <w:rsid w:val="00EB5E43"/>
    <w:rsid w:val="00EC2143"/>
    <w:rsid w:val="00ED747C"/>
    <w:rsid w:val="00EE44C2"/>
    <w:rsid w:val="00EE7503"/>
    <w:rsid w:val="00EF215C"/>
    <w:rsid w:val="00EF3B84"/>
    <w:rsid w:val="00EF6AB3"/>
    <w:rsid w:val="00F023C0"/>
    <w:rsid w:val="00F15D45"/>
    <w:rsid w:val="00F20F19"/>
    <w:rsid w:val="00F23B55"/>
    <w:rsid w:val="00F2495D"/>
    <w:rsid w:val="00F2757F"/>
    <w:rsid w:val="00F27DAA"/>
    <w:rsid w:val="00F27E20"/>
    <w:rsid w:val="00F3080A"/>
    <w:rsid w:val="00F41384"/>
    <w:rsid w:val="00F41AC8"/>
    <w:rsid w:val="00F435EA"/>
    <w:rsid w:val="00F44191"/>
    <w:rsid w:val="00F44EB8"/>
    <w:rsid w:val="00F5021A"/>
    <w:rsid w:val="00F71F1B"/>
    <w:rsid w:val="00F730EC"/>
    <w:rsid w:val="00F87DA5"/>
    <w:rsid w:val="00F9390D"/>
    <w:rsid w:val="00FA6F23"/>
    <w:rsid w:val="00FC33BA"/>
    <w:rsid w:val="00FD125D"/>
    <w:rsid w:val="00FD22BE"/>
    <w:rsid w:val="00FE2845"/>
    <w:rsid w:val="00FE2EE6"/>
    <w:rsid w:val="00FE35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FE0B33"/>
  <w15:docId w15:val="{807131DF-70D9-4A92-AC1A-A05F2C497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D77B3"/>
    <w:pPr>
      <w:spacing w:after="180"/>
      <w:jc w:val="both"/>
    </w:pPr>
    <w:rPr>
      <w:rFonts w:ascii="Arial" w:hAnsi="Arial"/>
      <w:sz w:val="18"/>
    </w:rPr>
  </w:style>
  <w:style w:type="paragraph" w:styleId="Heading1">
    <w:name w:val="heading 1"/>
    <w:basedOn w:val="Normal"/>
    <w:next w:val="Normal"/>
    <w:link w:val="Heading1Char"/>
    <w:autoRedefine/>
    <w:uiPriority w:val="9"/>
    <w:rsid w:val="00565D5A"/>
    <w:pPr>
      <w:keepNext/>
      <w:spacing w:before="360"/>
      <w:outlineLvl w:val="0"/>
    </w:pPr>
    <w:rPr>
      <w:b/>
      <w:bCs/>
      <w:kern w:val="32"/>
      <w:szCs w:val="32"/>
    </w:rPr>
  </w:style>
  <w:style w:type="paragraph" w:styleId="Heading2">
    <w:name w:val="heading 2"/>
    <w:basedOn w:val="Normal"/>
    <w:next w:val="Normal"/>
    <w:rsid w:val="00BD68AD"/>
    <w:pPr>
      <w:keepNext/>
      <w:outlineLvl w:val="1"/>
    </w:pPr>
    <w:rPr>
      <w:rFonts w:ascii="Times New Roman" w:hAnsi="Times New Roman"/>
      <w:b/>
      <w:i/>
      <w:sz w:val="22"/>
      <w:lang w:eastAsia="en-US"/>
    </w:rPr>
  </w:style>
  <w:style w:type="paragraph" w:styleId="Heading3">
    <w:name w:val="heading 3"/>
    <w:basedOn w:val="Normal"/>
    <w:next w:val="Normal"/>
    <w:rsid w:val="008D115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D5EB8"/>
    <w:rPr>
      <w:color w:val="0563C1"/>
      <w:u w:val="single"/>
    </w:rPr>
  </w:style>
  <w:style w:type="paragraph" w:customStyle="1" w:styleId="DDLTitle">
    <w:name w:val="DDL_Title"/>
    <w:basedOn w:val="Title"/>
    <w:next w:val="DDLSubtitle"/>
    <w:qFormat/>
    <w:rsid w:val="00AD115D"/>
    <w:pPr>
      <w:spacing w:before="0" w:after="280"/>
    </w:pPr>
    <w:rPr>
      <w:rFonts w:ascii="Arial" w:hAnsi="Arial"/>
      <w:sz w:val="18"/>
    </w:rPr>
  </w:style>
  <w:style w:type="paragraph" w:customStyle="1" w:styleId="DDLSubtitle">
    <w:name w:val="DDL_Subtitle"/>
    <w:basedOn w:val="Subtitle"/>
    <w:next w:val="DDLAddress1"/>
    <w:qFormat/>
    <w:rsid w:val="00AD115D"/>
    <w:pPr>
      <w:spacing w:after="180"/>
    </w:pPr>
    <w:rPr>
      <w:rFonts w:ascii="Arial" w:hAnsi="Arial"/>
      <w:b/>
      <w:sz w:val="18"/>
    </w:rPr>
  </w:style>
  <w:style w:type="paragraph" w:styleId="Title">
    <w:name w:val="Title"/>
    <w:basedOn w:val="Normal"/>
    <w:next w:val="Normal"/>
    <w:link w:val="TitleChar"/>
    <w:uiPriority w:val="10"/>
    <w:rsid w:val="00AD115D"/>
    <w:pPr>
      <w:spacing w:before="240" w:after="60"/>
      <w:jc w:val="center"/>
      <w:outlineLvl w:val="0"/>
    </w:pPr>
    <w:rPr>
      <w:rFonts w:ascii="Calibri Light" w:hAnsi="Calibri Light"/>
      <w:b/>
      <w:bCs/>
      <w:kern w:val="28"/>
      <w:sz w:val="32"/>
      <w:szCs w:val="32"/>
    </w:rPr>
  </w:style>
  <w:style w:type="character" w:customStyle="1" w:styleId="Heading1Char">
    <w:name w:val="Heading 1 Char"/>
    <w:link w:val="Heading1"/>
    <w:uiPriority w:val="9"/>
    <w:rsid w:val="00565D5A"/>
    <w:rPr>
      <w:rFonts w:ascii="Arial" w:eastAsia="Times New Roman" w:hAnsi="Arial" w:cs="Times New Roman"/>
      <w:b/>
      <w:bCs/>
      <w:kern w:val="32"/>
      <w:sz w:val="18"/>
      <w:szCs w:val="32"/>
    </w:rPr>
  </w:style>
  <w:style w:type="character" w:customStyle="1" w:styleId="TitleChar">
    <w:name w:val="Title Char"/>
    <w:link w:val="Title"/>
    <w:uiPriority w:val="10"/>
    <w:rsid w:val="00AD115D"/>
    <w:rPr>
      <w:rFonts w:ascii="Calibri Light" w:eastAsia="Times New Roman" w:hAnsi="Calibri Light" w:cs="Times New Roman"/>
      <w:b/>
      <w:bCs/>
      <w:kern w:val="28"/>
      <w:sz w:val="32"/>
      <w:szCs w:val="32"/>
    </w:rPr>
  </w:style>
  <w:style w:type="paragraph" w:styleId="Subtitle">
    <w:name w:val="Subtitle"/>
    <w:basedOn w:val="Normal"/>
    <w:next w:val="Normal"/>
    <w:link w:val="SubtitleChar"/>
    <w:uiPriority w:val="11"/>
    <w:rsid w:val="00AD115D"/>
    <w:pPr>
      <w:spacing w:after="60"/>
      <w:jc w:val="center"/>
      <w:outlineLvl w:val="1"/>
    </w:pPr>
    <w:rPr>
      <w:rFonts w:ascii="Calibri Light" w:hAnsi="Calibri Light"/>
      <w:sz w:val="24"/>
      <w:szCs w:val="24"/>
    </w:rPr>
  </w:style>
  <w:style w:type="character" w:customStyle="1" w:styleId="SubtitleChar">
    <w:name w:val="Subtitle Char"/>
    <w:link w:val="Subtitle"/>
    <w:uiPriority w:val="11"/>
    <w:rsid w:val="00AD115D"/>
    <w:rPr>
      <w:rFonts w:ascii="Calibri Light" w:eastAsia="Times New Roman" w:hAnsi="Calibri Light" w:cs="Times New Roman"/>
      <w:sz w:val="24"/>
      <w:szCs w:val="24"/>
    </w:rPr>
  </w:style>
  <w:style w:type="paragraph" w:customStyle="1" w:styleId="DDLAddress1">
    <w:name w:val="DDL_Address1"/>
    <w:basedOn w:val="DDLSubtitle"/>
    <w:next w:val="DDLAddress2"/>
    <w:qFormat/>
    <w:rsid w:val="00AD115D"/>
    <w:pPr>
      <w:spacing w:after="60"/>
    </w:pPr>
    <w:rPr>
      <w:b w:val="0"/>
    </w:rPr>
  </w:style>
  <w:style w:type="paragraph" w:customStyle="1" w:styleId="DDLAddress2">
    <w:name w:val="DDL_Address2"/>
    <w:basedOn w:val="DDLAddress1"/>
    <w:next w:val="DDLHeading1"/>
    <w:qFormat/>
    <w:rsid w:val="00AD115D"/>
    <w:pPr>
      <w:spacing w:after="280"/>
    </w:pPr>
  </w:style>
  <w:style w:type="paragraph" w:customStyle="1" w:styleId="DDLBodyText">
    <w:name w:val="DDL_BodyText"/>
    <w:basedOn w:val="Normal"/>
    <w:qFormat/>
    <w:rsid w:val="00D156FE"/>
  </w:style>
  <w:style w:type="paragraph" w:customStyle="1" w:styleId="DDLBullets">
    <w:name w:val="DDL_Bullets"/>
    <w:basedOn w:val="Normal"/>
    <w:qFormat/>
    <w:rsid w:val="00D156FE"/>
    <w:pPr>
      <w:numPr>
        <w:numId w:val="4"/>
      </w:numPr>
      <w:tabs>
        <w:tab w:val="left" w:pos="567"/>
        <w:tab w:val="left" w:pos="1701"/>
      </w:tabs>
      <w:spacing w:after="60"/>
      <w:ind w:left="568" w:hanging="284"/>
    </w:pPr>
  </w:style>
  <w:style w:type="paragraph" w:customStyle="1" w:styleId="DDLHeading1">
    <w:name w:val="DDL_Heading1"/>
    <w:basedOn w:val="Heading1"/>
    <w:next w:val="DDLBodyText"/>
    <w:qFormat/>
    <w:rsid w:val="00D156FE"/>
    <w:pPr>
      <w:spacing w:before="280"/>
    </w:pPr>
  </w:style>
  <w:style w:type="character" w:customStyle="1" w:styleId="DDLEmphasis">
    <w:name w:val="DDL_Emphasis"/>
    <w:qFormat/>
    <w:rsid w:val="00821655"/>
    <w:rPr>
      <w:rFonts w:ascii="Arial Black" w:hAnsi="Arial Black"/>
      <w:b w:val="0"/>
      <w:color w:val="595959"/>
      <w:sz w:val="18"/>
    </w:rPr>
  </w:style>
  <w:style w:type="character" w:styleId="CommentReference">
    <w:name w:val="annotation reference"/>
    <w:uiPriority w:val="99"/>
    <w:semiHidden/>
    <w:unhideWhenUsed/>
    <w:rsid w:val="0095324F"/>
    <w:rPr>
      <w:sz w:val="16"/>
      <w:szCs w:val="16"/>
    </w:rPr>
  </w:style>
  <w:style w:type="paragraph" w:styleId="CommentText">
    <w:name w:val="annotation text"/>
    <w:basedOn w:val="Normal"/>
    <w:link w:val="CommentTextChar"/>
    <w:uiPriority w:val="99"/>
    <w:semiHidden/>
    <w:unhideWhenUsed/>
    <w:rsid w:val="0095324F"/>
    <w:rPr>
      <w:sz w:val="20"/>
    </w:rPr>
  </w:style>
  <w:style w:type="character" w:customStyle="1" w:styleId="CommentTextChar">
    <w:name w:val="Comment Text Char"/>
    <w:link w:val="CommentText"/>
    <w:uiPriority w:val="99"/>
    <w:semiHidden/>
    <w:rsid w:val="0095324F"/>
    <w:rPr>
      <w:rFonts w:ascii="Arial" w:hAnsi="Arial"/>
    </w:rPr>
  </w:style>
  <w:style w:type="paragraph" w:styleId="CommentSubject">
    <w:name w:val="annotation subject"/>
    <w:basedOn w:val="CommentText"/>
    <w:next w:val="CommentText"/>
    <w:link w:val="CommentSubjectChar"/>
    <w:uiPriority w:val="99"/>
    <w:semiHidden/>
    <w:unhideWhenUsed/>
    <w:rsid w:val="0095324F"/>
    <w:rPr>
      <w:b/>
      <w:bCs/>
    </w:rPr>
  </w:style>
  <w:style w:type="character" w:customStyle="1" w:styleId="CommentSubjectChar">
    <w:name w:val="Comment Subject Char"/>
    <w:link w:val="CommentSubject"/>
    <w:uiPriority w:val="99"/>
    <w:semiHidden/>
    <w:rsid w:val="0095324F"/>
    <w:rPr>
      <w:rFonts w:ascii="Arial" w:hAnsi="Arial"/>
      <w:b/>
      <w:bCs/>
    </w:rPr>
  </w:style>
  <w:style w:type="paragraph" w:styleId="BalloonText">
    <w:name w:val="Balloon Text"/>
    <w:basedOn w:val="Normal"/>
    <w:link w:val="BalloonTextChar"/>
    <w:uiPriority w:val="99"/>
    <w:semiHidden/>
    <w:unhideWhenUsed/>
    <w:rsid w:val="0095324F"/>
    <w:pPr>
      <w:spacing w:after="0"/>
    </w:pPr>
    <w:rPr>
      <w:rFonts w:ascii="Segoe UI" w:hAnsi="Segoe UI"/>
      <w:szCs w:val="18"/>
    </w:rPr>
  </w:style>
  <w:style w:type="character" w:customStyle="1" w:styleId="BalloonTextChar">
    <w:name w:val="Balloon Text Char"/>
    <w:link w:val="BalloonText"/>
    <w:uiPriority w:val="99"/>
    <w:semiHidden/>
    <w:rsid w:val="0095324F"/>
    <w:rPr>
      <w:rFonts w:ascii="Segoe UI" w:hAnsi="Segoe UI" w:cs="Segoe UI"/>
      <w:sz w:val="18"/>
      <w:szCs w:val="18"/>
    </w:rPr>
  </w:style>
  <w:style w:type="paragraph" w:styleId="Caption">
    <w:name w:val="caption"/>
    <w:basedOn w:val="Normal"/>
    <w:next w:val="Normal"/>
    <w:uiPriority w:val="35"/>
    <w:unhideWhenUsed/>
    <w:qFormat/>
    <w:rsid w:val="0095324F"/>
    <w:rPr>
      <w:b/>
      <w:bCs/>
      <w:sz w:val="20"/>
    </w:rPr>
  </w:style>
  <w:style w:type="paragraph" w:customStyle="1" w:styleId="DDLCaption">
    <w:name w:val="DDL_Caption"/>
    <w:basedOn w:val="Caption"/>
    <w:next w:val="Normal"/>
    <w:qFormat/>
    <w:rsid w:val="0095324F"/>
    <w:pPr>
      <w:tabs>
        <w:tab w:val="left" w:pos="851"/>
      </w:tabs>
    </w:pPr>
    <w:rPr>
      <w:sz w:val="16"/>
      <w:szCs w:val="16"/>
    </w:rPr>
  </w:style>
  <w:style w:type="paragraph" w:customStyle="1" w:styleId="DDLFigure">
    <w:name w:val="DDL_Figure"/>
    <w:basedOn w:val="Normal"/>
    <w:qFormat/>
    <w:rsid w:val="00DF392A"/>
    <w:pPr>
      <w:keepNext/>
      <w:spacing w:after="100"/>
      <w:ind w:left="851"/>
    </w:pPr>
  </w:style>
  <w:style w:type="paragraph" w:styleId="EndnoteText">
    <w:name w:val="endnote text"/>
    <w:basedOn w:val="Normal"/>
    <w:link w:val="EndnoteTextChar"/>
    <w:uiPriority w:val="99"/>
    <w:semiHidden/>
    <w:unhideWhenUsed/>
    <w:rsid w:val="00A515A9"/>
    <w:rPr>
      <w:sz w:val="20"/>
    </w:rPr>
  </w:style>
  <w:style w:type="character" w:customStyle="1" w:styleId="EndnoteTextChar">
    <w:name w:val="Endnote Text Char"/>
    <w:link w:val="EndnoteText"/>
    <w:uiPriority w:val="99"/>
    <w:semiHidden/>
    <w:rsid w:val="00A515A9"/>
    <w:rPr>
      <w:rFonts w:ascii="Arial" w:hAnsi="Arial"/>
    </w:rPr>
  </w:style>
  <w:style w:type="character" w:styleId="EndnoteReference">
    <w:name w:val="endnote reference"/>
    <w:uiPriority w:val="99"/>
    <w:semiHidden/>
    <w:unhideWhenUsed/>
    <w:rsid w:val="00A515A9"/>
    <w:rPr>
      <w:vertAlign w:val="superscript"/>
    </w:rPr>
  </w:style>
  <w:style w:type="character" w:customStyle="1" w:styleId="DDLReferenceSuperscript">
    <w:name w:val="DDL_ReferenceSuperscript"/>
    <w:rsid w:val="00A515A9"/>
    <w:rPr>
      <w:vertAlign w:val="superscript"/>
    </w:rPr>
  </w:style>
  <w:style w:type="paragraph" w:customStyle="1" w:styleId="DDLReferences">
    <w:name w:val="DDL_References"/>
    <w:basedOn w:val="EndnoteText"/>
    <w:rsid w:val="00930DA1"/>
    <w:pPr>
      <w:tabs>
        <w:tab w:val="left" w:pos="284"/>
      </w:tabs>
      <w:ind w:left="284" w:hanging="284"/>
      <w:jc w:val="left"/>
    </w:pPr>
    <w:rPr>
      <w:sz w:val="16"/>
    </w:rPr>
  </w:style>
  <w:style w:type="paragraph" w:styleId="Header">
    <w:name w:val="header"/>
    <w:basedOn w:val="Normal"/>
    <w:link w:val="HeaderChar"/>
    <w:uiPriority w:val="99"/>
    <w:unhideWhenUsed/>
    <w:rsid w:val="00C126B9"/>
    <w:pPr>
      <w:tabs>
        <w:tab w:val="center" w:pos="4513"/>
        <w:tab w:val="right" w:pos="9026"/>
      </w:tabs>
    </w:pPr>
  </w:style>
  <w:style w:type="character" w:customStyle="1" w:styleId="HeaderChar">
    <w:name w:val="Header Char"/>
    <w:link w:val="Header"/>
    <w:uiPriority w:val="99"/>
    <w:rsid w:val="00C126B9"/>
    <w:rPr>
      <w:rFonts w:ascii="Arial" w:hAnsi="Arial"/>
      <w:sz w:val="18"/>
    </w:rPr>
  </w:style>
  <w:style w:type="paragraph" w:styleId="Footer">
    <w:name w:val="footer"/>
    <w:basedOn w:val="Normal"/>
    <w:link w:val="FooterChar"/>
    <w:uiPriority w:val="99"/>
    <w:unhideWhenUsed/>
    <w:rsid w:val="00C126B9"/>
    <w:pPr>
      <w:tabs>
        <w:tab w:val="center" w:pos="4513"/>
        <w:tab w:val="right" w:pos="9026"/>
      </w:tabs>
    </w:pPr>
  </w:style>
  <w:style w:type="character" w:customStyle="1" w:styleId="FooterChar">
    <w:name w:val="Footer Char"/>
    <w:link w:val="Footer"/>
    <w:uiPriority w:val="99"/>
    <w:rsid w:val="00C126B9"/>
    <w:rPr>
      <w:rFonts w:ascii="Arial" w:hAnsi="Arial"/>
      <w:sz w:val="18"/>
    </w:rPr>
  </w:style>
  <w:style w:type="character" w:styleId="PlaceholderText">
    <w:name w:val="Placeholder Text"/>
    <w:basedOn w:val="DefaultParagraphFont"/>
    <w:uiPriority w:val="99"/>
    <w:semiHidden/>
    <w:rsid w:val="00160344"/>
    <w:rPr>
      <w:color w:val="808080"/>
    </w:rPr>
  </w:style>
  <w:style w:type="character" w:styleId="Strong">
    <w:name w:val="Strong"/>
    <w:uiPriority w:val="22"/>
    <w:qFormat/>
    <w:rsid w:val="00E14DBF"/>
    <w:rPr>
      <w:b/>
      <w:bCs/>
    </w:rPr>
  </w:style>
  <w:style w:type="paragraph" w:styleId="Revision">
    <w:name w:val="Revision"/>
    <w:hidden/>
    <w:uiPriority w:val="99"/>
    <w:semiHidden/>
    <w:rsid w:val="00570612"/>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226061">
      <w:bodyDiv w:val="1"/>
      <w:marLeft w:val="0"/>
      <w:marRight w:val="0"/>
      <w:marTop w:val="0"/>
      <w:marBottom w:val="0"/>
      <w:divBdr>
        <w:top w:val="none" w:sz="0" w:space="0" w:color="auto"/>
        <w:left w:val="none" w:sz="0" w:space="0" w:color="auto"/>
        <w:bottom w:val="none" w:sz="0" w:space="0" w:color="auto"/>
        <w:right w:val="none" w:sz="0" w:space="0" w:color="auto"/>
      </w:divBdr>
    </w:div>
    <w:div w:id="225378704">
      <w:bodyDiv w:val="1"/>
      <w:marLeft w:val="0"/>
      <w:marRight w:val="0"/>
      <w:marTop w:val="0"/>
      <w:marBottom w:val="0"/>
      <w:divBdr>
        <w:top w:val="none" w:sz="0" w:space="0" w:color="auto"/>
        <w:left w:val="none" w:sz="0" w:space="0" w:color="auto"/>
        <w:bottom w:val="none" w:sz="0" w:space="0" w:color="auto"/>
        <w:right w:val="none" w:sz="0" w:space="0" w:color="auto"/>
      </w:divBdr>
    </w:div>
    <w:div w:id="387533793">
      <w:bodyDiv w:val="1"/>
      <w:marLeft w:val="0"/>
      <w:marRight w:val="0"/>
      <w:marTop w:val="0"/>
      <w:marBottom w:val="0"/>
      <w:divBdr>
        <w:top w:val="none" w:sz="0" w:space="0" w:color="auto"/>
        <w:left w:val="none" w:sz="0" w:space="0" w:color="auto"/>
        <w:bottom w:val="none" w:sz="0" w:space="0" w:color="auto"/>
        <w:right w:val="none" w:sz="0" w:space="0" w:color="auto"/>
      </w:divBdr>
    </w:div>
    <w:div w:id="548494069">
      <w:bodyDiv w:val="1"/>
      <w:marLeft w:val="0"/>
      <w:marRight w:val="0"/>
      <w:marTop w:val="0"/>
      <w:marBottom w:val="0"/>
      <w:divBdr>
        <w:top w:val="none" w:sz="0" w:space="0" w:color="auto"/>
        <w:left w:val="none" w:sz="0" w:space="0" w:color="auto"/>
        <w:bottom w:val="none" w:sz="0" w:space="0" w:color="auto"/>
        <w:right w:val="none" w:sz="0" w:space="0" w:color="auto"/>
      </w:divBdr>
    </w:div>
    <w:div w:id="963803281">
      <w:bodyDiv w:val="1"/>
      <w:marLeft w:val="0"/>
      <w:marRight w:val="0"/>
      <w:marTop w:val="0"/>
      <w:marBottom w:val="0"/>
      <w:divBdr>
        <w:top w:val="none" w:sz="0" w:space="0" w:color="auto"/>
        <w:left w:val="none" w:sz="0" w:space="0" w:color="auto"/>
        <w:bottom w:val="none" w:sz="0" w:space="0" w:color="auto"/>
        <w:right w:val="none" w:sz="0" w:space="0" w:color="auto"/>
      </w:divBdr>
    </w:div>
    <w:div w:id="1183281930">
      <w:bodyDiv w:val="1"/>
      <w:marLeft w:val="0"/>
      <w:marRight w:val="0"/>
      <w:marTop w:val="0"/>
      <w:marBottom w:val="0"/>
      <w:divBdr>
        <w:top w:val="none" w:sz="0" w:space="0" w:color="auto"/>
        <w:left w:val="none" w:sz="0" w:space="0" w:color="auto"/>
        <w:bottom w:val="none" w:sz="0" w:space="0" w:color="auto"/>
        <w:right w:val="none" w:sz="0" w:space="0" w:color="auto"/>
      </w:divBdr>
    </w:div>
    <w:div w:id="1213496636">
      <w:bodyDiv w:val="1"/>
      <w:marLeft w:val="0"/>
      <w:marRight w:val="0"/>
      <w:marTop w:val="0"/>
      <w:marBottom w:val="0"/>
      <w:divBdr>
        <w:top w:val="none" w:sz="0" w:space="0" w:color="auto"/>
        <w:left w:val="none" w:sz="0" w:space="0" w:color="auto"/>
        <w:bottom w:val="none" w:sz="0" w:space="0" w:color="auto"/>
        <w:right w:val="none" w:sz="0" w:space="0" w:color="auto"/>
      </w:divBdr>
    </w:div>
    <w:div w:id="1265697830">
      <w:bodyDiv w:val="1"/>
      <w:marLeft w:val="0"/>
      <w:marRight w:val="0"/>
      <w:marTop w:val="0"/>
      <w:marBottom w:val="0"/>
      <w:divBdr>
        <w:top w:val="none" w:sz="0" w:space="0" w:color="auto"/>
        <w:left w:val="none" w:sz="0" w:space="0" w:color="auto"/>
        <w:bottom w:val="none" w:sz="0" w:space="0" w:color="auto"/>
        <w:right w:val="none" w:sz="0" w:space="0" w:color="auto"/>
      </w:divBdr>
    </w:div>
    <w:div w:id="1650597290">
      <w:bodyDiv w:val="1"/>
      <w:marLeft w:val="0"/>
      <w:marRight w:val="0"/>
      <w:marTop w:val="0"/>
      <w:marBottom w:val="0"/>
      <w:divBdr>
        <w:top w:val="none" w:sz="0" w:space="0" w:color="auto"/>
        <w:left w:val="none" w:sz="0" w:space="0" w:color="auto"/>
        <w:bottom w:val="none" w:sz="0" w:space="0" w:color="auto"/>
        <w:right w:val="none" w:sz="0" w:space="0" w:color="auto"/>
      </w:divBdr>
    </w:div>
    <w:div w:id="1862933923">
      <w:bodyDiv w:val="1"/>
      <w:marLeft w:val="0"/>
      <w:marRight w:val="0"/>
      <w:marTop w:val="0"/>
      <w:marBottom w:val="0"/>
      <w:divBdr>
        <w:top w:val="none" w:sz="0" w:space="0" w:color="auto"/>
        <w:left w:val="none" w:sz="0" w:space="0" w:color="auto"/>
        <w:bottom w:val="none" w:sz="0" w:space="0" w:color="auto"/>
        <w:right w:val="none" w:sz="0" w:space="0" w:color="auto"/>
      </w:divBdr>
    </w:div>
    <w:div w:id="193177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file:///\\uni-kiel.de\files\pharmazie\groups\techno\projekte_techno\02U\Pulverbasierte%20Plattform%20f&#252;r%20mRNA%20zur%20inhalativen%20Impfung\Versuche\ELP%2024%20Fluc%20Scale%20Up%2024%20well%20Platte%20Anwesenheit%20von%20HS\ELP%2024%20Auswertung.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ni-kiel.de\files\pharmazie\groups\techno\projekte_techno\02U\Pulverbasierte%20Plattform%20f&#252;r%20mRNA%20zur%20inhalativen%20Impfung\Versuche\ELP%2035%20Spr&#252;hen%20Nano%20Mini%20Verglecih\ELP%2035%20Auswertung.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Volumes\projekte_techno\02U\Pulverbasierte%20Plattform%20fu&#776;r%20mRNA%20zur%20inhalativen%20Impfung\Versuche\ELP%2039%20Pipetteiren%20durch%203%20Schla&#776;uche%20+%20Du&#776;se%20mit%20Sa&#776;ttigung\ELP%2039%20Auswertung.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94505678937317"/>
          <c:y val="4.6728971962616821E-2"/>
          <c:w val="0.77069530544715115"/>
          <c:h val="0.75852885027813521"/>
        </c:manualLayout>
      </c:layout>
      <c:barChart>
        <c:barDir val="col"/>
        <c:grouping val="clustered"/>
        <c:varyColors val="0"/>
        <c:ser>
          <c:idx val="1"/>
          <c:order val="0"/>
          <c:tx>
            <c:strRef>
              <c:f>'Zuordnung Proben'!$Q$48</c:f>
              <c:strCache>
                <c:ptCount val="1"/>
                <c:pt idx="0">
                  <c:v>Mittelwert</c:v>
                </c:pt>
              </c:strCache>
            </c:strRef>
          </c:tx>
          <c:spPr>
            <a:solidFill>
              <a:schemeClr val="accent1"/>
            </a:solidFill>
            <a:ln w="12700">
              <a:solidFill>
                <a:schemeClr val="tx1"/>
              </a:solidFill>
            </a:ln>
            <a:effectLst/>
          </c:spPr>
          <c:invertIfNegative val="0"/>
          <c:dPt>
            <c:idx val="0"/>
            <c:invertIfNegative val="0"/>
            <c:bubble3D val="0"/>
            <c:spPr>
              <a:solidFill>
                <a:schemeClr val="bg1">
                  <a:lumMod val="50000"/>
                </a:schemeClr>
              </a:solidFill>
              <a:ln w="12700">
                <a:solidFill>
                  <a:schemeClr val="tx1"/>
                </a:solidFill>
              </a:ln>
              <a:effectLst/>
            </c:spPr>
            <c:extLst>
              <c:ext xmlns:c16="http://schemas.microsoft.com/office/drawing/2014/chart" uri="{C3380CC4-5D6E-409C-BE32-E72D297353CC}">
                <c16:uniqueId val="{00000001-019D-4668-95E8-5468152BC32A}"/>
              </c:ext>
            </c:extLst>
          </c:dPt>
          <c:dPt>
            <c:idx val="1"/>
            <c:invertIfNegative val="0"/>
            <c:bubble3D val="0"/>
            <c:spPr>
              <a:solidFill>
                <a:srgbClr val="0096FF"/>
              </a:solidFill>
              <a:ln w="12700">
                <a:solidFill>
                  <a:schemeClr val="tx1"/>
                </a:solidFill>
              </a:ln>
              <a:effectLst/>
            </c:spPr>
            <c:extLst>
              <c:ext xmlns:c16="http://schemas.microsoft.com/office/drawing/2014/chart" uri="{C3380CC4-5D6E-409C-BE32-E72D297353CC}">
                <c16:uniqueId val="{00000003-019D-4668-95E8-5468152BC32A}"/>
              </c:ext>
            </c:extLst>
          </c:dPt>
          <c:dPt>
            <c:idx val="3"/>
            <c:invertIfNegative val="0"/>
            <c:bubble3D val="0"/>
            <c:spPr>
              <a:solidFill>
                <a:srgbClr val="92D050"/>
              </a:solidFill>
              <a:ln w="12700">
                <a:solidFill>
                  <a:schemeClr val="tx1"/>
                </a:solidFill>
              </a:ln>
              <a:effectLst/>
            </c:spPr>
            <c:extLst>
              <c:ext xmlns:c16="http://schemas.microsoft.com/office/drawing/2014/chart" uri="{C3380CC4-5D6E-409C-BE32-E72D297353CC}">
                <c16:uniqueId val="{00000005-019D-4668-95E8-5468152BC32A}"/>
              </c:ext>
            </c:extLst>
          </c:dPt>
          <c:dPt>
            <c:idx val="4"/>
            <c:invertIfNegative val="0"/>
            <c:bubble3D val="0"/>
            <c:spPr>
              <a:solidFill>
                <a:schemeClr val="accent6"/>
              </a:solidFill>
              <a:ln w="12700">
                <a:solidFill>
                  <a:schemeClr val="tx1"/>
                </a:solidFill>
              </a:ln>
              <a:effectLst/>
            </c:spPr>
            <c:extLst>
              <c:ext xmlns:c16="http://schemas.microsoft.com/office/drawing/2014/chart" uri="{C3380CC4-5D6E-409C-BE32-E72D297353CC}">
                <c16:uniqueId val="{00000007-019D-4668-95E8-5468152BC32A}"/>
              </c:ext>
            </c:extLst>
          </c:dPt>
          <c:dPt>
            <c:idx val="5"/>
            <c:invertIfNegative val="0"/>
            <c:bubble3D val="0"/>
            <c:spPr>
              <a:solidFill>
                <a:srgbClr val="FF7E79"/>
              </a:solidFill>
              <a:ln w="12700">
                <a:solidFill>
                  <a:schemeClr val="tx1"/>
                </a:solidFill>
              </a:ln>
              <a:effectLst/>
            </c:spPr>
            <c:extLst>
              <c:ext xmlns:c16="http://schemas.microsoft.com/office/drawing/2014/chart" uri="{C3380CC4-5D6E-409C-BE32-E72D297353CC}">
                <c16:uniqueId val="{00000009-019D-4668-95E8-5468152BC32A}"/>
              </c:ext>
            </c:extLst>
          </c:dPt>
          <c:dPt>
            <c:idx val="6"/>
            <c:invertIfNegative val="0"/>
            <c:bubble3D val="0"/>
            <c:spPr>
              <a:solidFill>
                <a:srgbClr val="C00000"/>
              </a:solidFill>
              <a:ln w="12700">
                <a:solidFill>
                  <a:schemeClr val="tx1"/>
                </a:solidFill>
              </a:ln>
              <a:effectLst/>
            </c:spPr>
            <c:extLst>
              <c:ext xmlns:c16="http://schemas.microsoft.com/office/drawing/2014/chart" uri="{C3380CC4-5D6E-409C-BE32-E72D297353CC}">
                <c16:uniqueId val="{0000000B-019D-4668-95E8-5468152BC32A}"/>
              </c:ext>
            </c:extLst>
          </c:dPt>
          <c:errBars>
            <c:errBarType val="both"/>
            <c:errValType val="cust"/>
            <c:noEndCap val="0"/>
            <c:plus>
              <c:numRef>
                <c:f>'Zuordnung Proben'!$R$51:$R$53</c:f>
                <c:numCache>
                  <c:formatCode>General</c:formatCode>
                  <c:ptCount val="2"/>
                  <c:pt idx="0">
                    <c:v>0.31702042616687676</c:v>
                  </c:pt>
                  <c:pt idx="1">
                    <c:v>0.3212936708950887</c:v>
                  </c:pt>
                </c:numCache>
                <c:extLst/>
              </c:numRef>
            </c:plus>
            <c:minus>
              <c:numRef>
                <c:f>'Zuordnung Proben'!$R$51:$R$53</c:f>
                <c:numCache>
                  <c:formatCode>General</c:formatCode>
                  <c:ptCount val="2"/>
                  <c:pt idx="0">
                    <c:v>0.31702042616687676</c:v>
                  </c:pt>
                  <c:pt idx="1">
                    <c:v>0.3212936708950887</c:v>
                  </c:pt>
                </c:numCache>
                <c:extLst/>
              </c:numRef>
            </c:minus>
            <c:spPr>
              <a:noFill/>
              <a:ln w="9525" cap="flat" cmpd="sng" algn="ctr">
                <a:solidFill>
                  <a:schemeClr val="tx1">
                    <a:lumMod val="65000"/>
                    <a:lumOff val="35000"/>
                  </a:schemeClr>
                </a:solidFill>
                <a:round/>
              </a:ln>
              <a:effectLst/>
            </c:spPr>
          </c:errBars>
          <c:cat>
            <c:strRef>
              <c:f>'Zuordnung Proben'!$A$51:$A$53</c:f>
              <c:strCache>
                <c:ptCount val="2"/>
                <c:pt idx="0">
                  <c:v>Lipoplexes + Lactose</c:v>
                </c:pt>
                <c:pt idx="1">
                  <c:v>Lipoplexes + Mannitol</c:v>
                </c:pt>
              </c:strCache>
              <c:extLst/>
            </c:strRef>
          </c:cat>
          <c:val>
            <c:numRef>
              <c:f>'Zuordnung Proben'!$Q$51:$Q$53</c:f>
              <c:numCache>
                <c:formatCode>General</c:formatCode>
                <c:ptCount val="2"/>
                <c:pt idx="0">
                  <c:v>1.1729978950270208</c:v>
                </c:pt>
                <c:pt idx="1">
                  <c:v>1.3285639020808742</c:v>
                </c:pt>
              </c:numCache>
              <c:extLst/>
            </c:numRef>
          </c:val>
          <c:extLst>
            <c:ext xmlns:c16="http://schemas.microsoft.com/office/drawing/2014/chart" uri="{C3380CC4-5D6E-409C-BE32-E72D297353CC}">
              <c16:uniqueId val="{0000000C-019D-4668-95E8-5468152BC32A}"/>
            </c:ext>
          </c:extLst>
        </c:ser>
        <c:dLbls>
          <c:showLegendKey val="0"/>
          <c:showVal val="0"/>
          <c:showCatName val="0"/>
          <c:showSerName val="0"/>
          <c:showPercent val="0"/>
          <c:showBubbleSize val="0"/>
        </c:dLbls>
        <c:gapWidth val="150"/>
        <c:axId val="539078888"/>
        <c:axId val="539079216"/>
      </c:barChart>
      <c:catAx>
        <c:axId val="53907888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39079216"/>
        <c:crosses val="autoZero"/>
        <c:auto val="1"/>
        <c:lblAlgn val="ctr"/>
        <c:lblOffset val="100"/>
        <c:noMultiLvlLbl val="1"/>
      </c:catAx>
      <c:valAx>
        <c:axId val="539079216"/>
        <c:scaling>
          <c:orientation val="minMax"/>
        </c:scaling>
        <c:delete val="0"/>
        <c:axPos val="l"/>
        <c:title>
          <c:tx>
            <c:rich>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de-DE" sz="1100"/>
                  <a:t>relative units</a:t>
                </a:r>
              </a:p>
            </c:rich>
          </c:tx>
          <c:layout>
            <c:manualLayout>
              <c:xMode val="edge"/>
              <c:yMode val="edge"/>
              <c:x val="1.6779911014086393E-2"/>
              <c:y val="0.24935776062818024"/>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 sourceLinked="0"/>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39078888"/>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sz="1000" b="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34806292228993"/>
          <c:y val="6.030603370480149E-2"/>
          <c:w val="0.88213087277615798"/>
          <c:h val="0.59646315283517126"/>
        </c:manualLayout>
      </c:layout>
      <c:barChart>
        <c:barDir val="col"/>
        <c:grouping val="clustered"/>
        <c:varyColors val="0"/>
        <c:ser>
          <c:idx val="1"/>
          <c:order val="0"/>
          <c:tx>
            <c:strRef>
              <c:f>'Zuordnung Proben Norm'!$F$43</c:f>
              <c:strCache>
                <c:ptCount val="1"/>
                <c:pt idx="0">
                  <c:v>Mittelwert</c:v>
                </c:pt>
              </c:strCache>
            </c:strRef>
          </c:tx>
          <c:spPr>
            <a:solidFill>
              <a:schemeClr val="accent1"/>
            </a:solidFill>
            <a:ln w="12700">
              <a:solidFill>
                <a:schemeClr val="accent5">
                  <a:lumMod val="50000"/>
                </a:schemeClr>
              </a:solidFill>
            </a:ln>
            <a:effectLst/>
          </c:spPr>
          <c:invertIfNegative val="0"/>
          <c:dPt>
            <c:idx val="0"/>
            <c:invertIfNegative val="0"/>
            <c:bubble3D val="0"/>
            <c:spPr>
              <a:pattFill prst="pct75">
                <a:fgClr>
                  <a:srgbClr val="76D6FF"/>
                </a:fgClr>
                <a:bgClr>
                  <a:schemeClr val="bg1"/>
                </a:bgClr>
              </a:pattFill>
              <a:ln w="12700">
                <a:solidFill>
                  <a:schemeClr val="accent5">
                    <a:lumMod val="50000"/>
                  </a:schemeClr>
                </a:solidFill>
              </a:ln>
              <a:effectLst/>
            </c:spPr>
            <c:extLst>
              <c:ext xmlns:c16="http://schemas.microsoft.com/office/drawing/2014/chart" uri="{C3380CC4-5D6E-409C-BE32-E72D297353CC}">
                <c16:uniqueId val="{00000001-14D3-45C9-8F35-F5BCDF76D588}"/>
              </c:ext>
            </c:extLst>
          </c:dPt>
          <c:dPt>
            <c:idx val="1"/>
            <c:invertIfNegative val="0"/>
            <c:bubble3D val="0"/>
            <c:spPr>
              <a:pattFill prst="dkVert">
                <a:fgClr>
                  <a:srgbClr val="76D6FF"/>
                </a:fgClr>
                <a:bgClr>
                  <a:schemeClr val="bg1"/>
                </a:bgClr>
              </a:pattFill>
              <a:ln w="12700">
                <a:solidFill>
                  <a:schemeClr val="accent5">
                    <a:lumMod val="50000"/>
                  </a:schemeClr>
                </a:solidFill>
              </a:ln>
              <a:effectLst/>
            </c:spPr>
            <c:extLst>
              <c:ext xmlns:c16="http://schemas.microsoft.com/office/drawing/2014/chart" uri="{C3380CC4-5D6E-409C-BE32-E72D297353CC}">
                <c16:uniqueId val="{00000003-14D3-45C9-8F35-F5BCDF76D588}"/>
              </c:ext>
            </c:extLst>
          </c:dPt>
          <c:dPt>
            <c:idx val="2"/>
            <c:invertIfNegative val="0"/>
            <c:bubble3D val="0"/>
            <c:spPr>
              <a:pattFill prst="pct80">
                <a:fgClr>
                  <a:srgbClr val="76D6FF"/>
                </a:fgClr>
                <a:bgClr>
                  <a:schemeClr val="bg1"/>
                </a:bgClr>
              </a:pattFill>
              <a:ln w="12700">
                <a:solidFill>
                  <a:schemeClr val="accent5">
                    <a:lumMod val="50000"/>
                  </a:schemeClr>
                </a:solidFill>
              </a:ln>
              <a:effectLst/>
            </c:spPr>
            <c:extLst>
              <c:ext xmlns:c16="http://schemas.microsoft.com/office/drawing/2014/chart" uri="{C3380CC4-5D6E-409C-BE32-E72D297353CC}">
                <c16:uniqueId val="{00000005-14D3-45C9-8F35-F5BCDF76D588}"/>
              </c:ext>
            </c:extLst>
          </c:dPt>
          <c:dPt>
            <c:idx val="3"/>
            <c:invertIfNegative val="0"/>
            <c:bubble3D val="0"/>
            <c:spPr>
              <a:pattFill prst="dkVert">
                <a:fgClr>
                  <a:srgbClr val="76D6FF"/>
                </a:fgClr>
                <a:bgClr>
                  <a:schemeClr val="bg1"/>
                </a:bgClr>
              </a:pattFill>
              <a:ln w="12700">
                <a:solidFill>
                  <a:schemeClr val="accent5">
                    <a:lumMod val="50000"/>
                  </a:schemeClr>
                </a:solidFill>
              </a:ln>
              <a:effectLst/>
            </c:spPr>
            <c:extLst>
              <c:ext xmlns:c16="http://schemas.microsoft.com/office/drawing/2014/chart" uri="{C3380CC4-5D6E-409C-BE32-E72D297353CC}">
                <c16:uniqueId val="{00000007-14D3-45C9-8F35-F5BCDF76D588}"/>
              </c:ext>
            </c:extLst>
          </c:dPt>
          <c:dPt>
            <c:idx val="4"/>
            <c:invertIfNegative val="0"/>
            <c:bubble3D val="0"/>
            <c:spPr>
              <a:pattFill prst="pct80">
                <a:fgClr>
                  <a:srgbClr val="0096FF"/>
                </a:fgClr>
                <a:bgClr>
                  <a:schemeClr val="bg1"/>
                </a:bgClr>
              </a:pattFill>
              <a:ln w="12700">
                <a:solidFill>
                  <a:schemeClr val="accent5">
                    <a:lumMod val="50000"/>
                  </a:schemeClr>
                </a:solidFill>
              </a:ln>
              <a:effectLst/>
            </c:spPr>
            <c:extLst>
              <c:ext xmlns:c16="http://schemas.microsoft.com/office/drawing/2014/chart" uri="{C3380CC4-5D6E-409C-BE32-E72D297353CC}">
                <c16:uniqueId val="{00000009-14D3-45C9-8F35-F5BCDF76D588}"/>
              </c:ext>
            </c:extLst>
          </c:dPt>
          <c:dPt>
            <c:idx val="5"/>
            <c:invertIfNegative val="0"/>
            <c:bubble3D val="0"/>
            <c:spPr>
              <a:pattFill prst="dkVert">
                <a:fgClr>
                  <a:srgbClr val="0096FF"/>
                </a:fgClr>
                <a:bgClr>
                  <a:schemeClr val="bg1"/>
                </a:bgClr>
              </a:pattFill>
              <a:ln w="12700">
                <a:solidFill>
                  <a:schemeClr val="accent5">
                    <a:lumMod val="50000"/>
                  </a:schemeClr>
                </a:solidFill>
              </a:ln>
              <a:effectLst/>
            </c:spPr>
            <c:extLst>
              <c:ext xmlns:c16="http://schemas.microsoft.com/office/drawing/2014/chart" uri="{C3380CC4-5D6E-409C-BE32-E72D297353CC}">
                <c16:uniqueId val="{0000000B-14D3-45C9-8F35-F5BCDF76D588}"/>
              </c:ext>
            </c:extLst>
          </c:dPt>
          <c:dPt>
            <c:idx val="6"/>
            <c:invertIfNegative val="0"/>
            <c:bubble3D val="0"/>
            <c:spPr>
              <a:pattFill prst="pct75">
                <a:fgClr>
                  <a:srgbClr val="0096FF"/>
                </a:fgClr>
                <a:bgClr>
                  <a:schemeClr val="bg1"/>
                </a:bgClr>
              </a:pattFill>
              <a:ln w="12700">
                <a:solidFill>
                  <a:schemeClr val="accent5">
                    <a:lumMod val="50000"/>
                  </a:schemeClr>
                </a:solidFill>
              </a:ln>
              <a:effectLst/>
            </c:spPr>
            <c:extLst>
              <c:ext xmlns:c16="http://schemas.microsoft.com/office/drawing/2014/chart" uri="{C3380CC4-5D6E-409C-BE32-E72D297353CC}">
                <c16:uniqueId val="{0000000D-14D3-45C9-8F35-F5BCDF76D588}"/>
              </c:ext>
            </c:extLst>
          </c:dPt>
          <c:dPt>
            <c:idx val="7"/>
            <c:invertIfNegative val="0"/>
            <c:bubble3D val="0"/>
            <c:spPr>
              <a:pattFill prst="dkVert">
                <a:fgClr>
                  <a:srgbClr val="0096FF"/>
                </a:fgClr>
                <a:bgClr>
                  <a:schemeClr val="bg1"/>
                </a:bgClr>
              </a:pattFill>
              <a:ln w="12700">
                <a:solidFill>
                  <a:schemeClr val="accent5">
                    <a:lumMod val="50000"/>
                  </a:schemeClr>
                </a:solidFill>
              </a:ln>
              <a:effectLst/>
            </c:spPr>
            <c:extLst>
              <c:ext xmlns:c16="http://schemas.microsoft.com/office/drawing/2014/chart" uri="{C3380CC4-5D6E-409C-BE32-E72D297353CC}">
                <c16:uniqueId val="{0000000F-14D3-45C9-8F35-F5BCDF76D588}"/>
              </c:ext>
            </c:extLst>
          </c:dPt>
          <c:dPt>
            <c:idx val="8"/>
            <c:invertIfNegative val="0"/>
            <c:bubble3D val="0"/>
            <c:spPr>
              <a:pattFill prst="pct75">
                <a:fgClr>
                  <a:srgbClr val="0096FF"/>
                </a:fgClr>
                <a:bgClr>
                  <a:schemeClr val="bg1"/>
                </a:bgClr>
              </a:pattFill>
              <a:ln w="12700">
                <a:solidFill>
                  <a:schemeClr val="accent5">
                    <a:lumMod val="50000"/>
                  </a:schemeClr>
                </a:solidFill>
              </a:ln>
              <a:effectLst/>
            </c:spPr>
            <c:extLst>
              <c:ext xmlns:c16="http://schemas.microsoft.com/office/drawing/2014/chart" uri="{C3380CC4-5D6E-409C-BE32-E72D297353CC}">
                <c16:uniqueId val="{00000011-14D3-45C9-8F35-F5BCDF76D588}"/>
              </c:ext>
            </c:extLst>
          </c:dPt>
          <c:dPt>
            <c:idx val="9"/>
            <c:invertIfNegative val="0"/>
            <c:bubble3D val="0"/>
            <c:spPr>
              <a:solidFill>
                <a:srgbClr val="76D6FF"/>
              </a:solidFill>
              <a:ln w="12700">
                <a:solidFill>
                  <a:schemeClr val="accent5">
                    <a:lumMod val="50000"/>
                  </a:schemeClr>
                </a:solidFill>
              </a:ln>
              <a:effectLst/>
            </c:spPr>
            <c:extLst>
              <c:ext xmlns:c16="http://schemas.microsoft.com/office/drawing/2014/chart" uri="{C3380CC4-5D6E-409C-BE32-E72D297353CC}">
                <c16:uniqueId val="{00000013-14D3-45C9-8F35-F5BCDF76D588}"/>
              </c:ext>
            </c:extLst>
          </c:dPt>
          <c:dPt>
            <c:idx val="10"/>
            <c:invertIfNegative val="0"/>
            <c:bubble3D val="0"/>
            <c:spPr>
              <a:solidFill>
                <a:srgbClr val="0096FF"/>
              </a:solidFill>
              <a:ln w="12700">
                <a:solidFill>
                  <a:schemeClr val="accent5">
                    <a:lumMod val="50000"/>
                  </a:schemeClr>
                </a:solidFill>
              </a:ln>
              <a:effectLst/>
            </c:spPr>
            <c:extLst>
              <c:ext xmlns:c16="http://schemas.microsoft.com/office/drawing/2014/chart" uri="{C3380CC4-5D6E-409C-BE32-E72D297353CC}">
                <c16:uniqueId val="{00000015-14D3-45C9-8F35-F5BCDF76D588}"/>
              </c:ext>
            </c:extLst>
          </c:dPt>
          <c:dPt>
            <c:idx val="11"/>
            <c:invertIfNegative val="0"/>
            <c:bubble3D val="0"/>
            <c:spPr>
              <a:solidFill>
                <a:srgbClr val="0096FF"/>
              </a:solidFill>
              <a:ln w="12700">
                <a:solidFill>
                  <a:schemeClr val="accent5">
                    <a:lumMod val="50000"/>
                  </a:schemeClr>
                </a:solidFill>
              </a:ln>
              <a:effectLst/>
            </c:spPr>
            <c:extLst>
              <c:ext xmlns:c16="http://schemas.microsoft.com/office/drawing/2014/chart" uri="{C3380CC4-5D6E-409C-BE32-E72D297353CC}">
                <c16:uniqueId val="{00000017-14D3-45C9-8F35-F5BCDF76D588}"/>
              </c:ext>
            </c:extLst>
          </c:dPt>
          <c:dPt>
            <c:idx val="12"/>
            <c:invertIfNegative val="0"/>
            <c:bubble3D val="0"/>
            <c:spPr>
              <a:solidFill>
                <a:srgbClr val="0096FF"/>
              </a:solidFill>
              <a:ln w="12700">
                <a:solidFill>
                  <a:schemeClr val="accent5">
                    <a:lumMod val="50000"/>
                  </a:schemeClr>
                </a:solidFill>
              </a:ln>
              <a:effectLst/>
            </c:spPr>
            <c:extLst>
              <c:ext xmlns:c16="http://schemas.microsoft.com/office/drawing/2014/chart" uri="{C3380CC4-5D6E-409C-BE32-E72D297353CC}">
                <c16:uniqueId val="{00000019-14D3-45C9-8F35-F5BCDF76D588}"/>
              </c:ext>
            </c:extLst>
          </c:dPt>
          <c:errBars>
            <c:errBarType val="both"/>
            <c:errValType val="cust"/>
            <c:noEndCap val="0"/>
            <c:plus>
              <c:numRef>
                <c:f>'Zuordnung Proben Norm'!$G$68:$G$75</c:f>
                <c:numCache>
                  <c:formatCode>General</c:formatCode>
                  <c:ptCount val="8"/>
                  <c:pt idx="0">
                    <c:v>0.1143574749385394</c:v>
                  </c:pt>
                  <c:pt idx="1">
                    <c:v>7.6149935987266881E-2</c:v>
                  </c:pt>
                  <c:pt idx="2">
                    <c:v>9.698906594975161E-2</c:v>
                  </c:pt>
                  <c:pt idx="3">
                    <c:v>3.1799188088461355E-2</c:v>
                  </c:pt>
                  <c:pt idx="4">
                    <c:v>2.9510283063180771E-2</c:v>
                  </c:pt>
                  <c:pt idx="5">
                    <c:v>0.16735513573701544</c:v>
                  </c:pt>
                  <c:pt idx="6">
                    <c:v>1.0313404634718146E-2</c:v>
                  </c:pt>
                  <c:pt idx="7">
                    <c:v>1.0781416661252187E-2</c:v>
                  </c:pt>
                </c:numCache>
              </c:numRef>
            </c:plus>
            <c:minus>
              <c:numRef>
                <c:f>'Zuordnung Proben Norm'!$G$68:$G$75</c:f>
                <c:numCache>
                  <c:formatCode>General</c:formatCode>
                  <c:ptCount val="8"/>
                  <c:pt idx="0">
                    <c:v>0.1143574749385394</c:v>
                  </c:pt>
                  <c:pt idx="1">
                    <c:v>7.6149935987266881E-2</c:v>
                  </c:pt>
                  <c:pt idx="2">
                    <c:v>9.698906594975161E-2</c:v>
                  </c:pt>
                  <c:pt idx="3">
                    <c:v>3.1799188088461355E-2</c:v>
                  </c:pt>
                  <c:pt idx="4">
                    <c:v>2.9510283063180771E-2</c:v>
                  </c:pt>
                  <c:pt idx="5">
                    <c:v>0.16735513573701544</c:v>
                  </c:pt>
                  <c:pt idx="6">
                    <c:v>1.0313404634718146E-2</c:v>
                  </c:pt>
                  <c:pt idx="7">
                    <c:v>1.0781416661252187E-2</c:v>
                  </c:pt>
                </c:numCache>
              </c:numRef>
            </c:minus>
            <c:spPr>
              <a:noFill/>
              <a:ln w="9525" cap="flat" cmpd="sng" algn="ctr">
                <a:solidFill>
                  <a:schemeClr val="tx1">
                    <a:lumMod val="65000"/>
                    <a:lumOff val="35000"/>
                  </a:schemeClr>
                </a:solidFill>
                <a:round/>
              </a:ln>
              <a:effectLst/>
            </c:spPr>
          </c:errBars>
          <c:cat>
            <c:multiLvlStrRef>
              <c:f>'Zuordnung Proben Norm'!$A$68:$C$75</c:f>
              <c:multiLvlStrCache>
                <c:ptCount val="8"/>
                <c:lvl>
                  <c:pt idx="0">
                    <c:v>pumped</c:v>
                  </c:pt>
                  <c:pt idx="1">
                    <c:v>sprayed</c:v>
                  </c:pt>
                  <c:pt idx="2">
                    <c:v>pumped</c:v>
                  </c:pt>
                  <c:pt idx="3">
                    <c:v>sprayed</c:v>
                  </c:pt>
                  <c:pt idx="4">
                    <c:v>pumped</c:v>
                  </c:pt>
                  <c:pt idx="5">
                    <c:v>sprayed</c:v>
                  </c:pt>
                  <c:pt idx="6">
                    <c:v>pumped</c:v>
                  </c:pt>
                  <c:pt idx="7">
                    <c:v>sprayed</c:v>
                  </c:pt>
                </c:lvl>
                <c:lvl>
                  <c:pt idx="0">
                    <c:v>Nano Sprayer </c:v>
                  </c:pt>
                  <c:pt idx="2">
                    <c:v>Mini Sprayer</c:v>
                  </c:pt>
                  <c:pt idx="4">
                    <c:v>Nano Sprayer </c:v>
                  </c:pt>
                  <c:pt idx="6">
                    <c:v>Mini Sprayer</c:v>
                  </c:pt>
                </c:lvl>
                <c:lvl>
                  <c:pt idx="0">
                    <c:v>naked mRNA</c:v>
                  </c:pt>
                  <c:pt idx="4">
                    <c:v>Lipoplexes</c:v>
                  </c:pt>
                </c:lvl>
              </c:multiLvlStrCache>
            </c:multiLvlStrRef>
          </c:cat>
          <c:val>
            <c:numRef>
              <c:f>'Zuordnung Proben Norm'!$F$68:$F$75</c:f>
              <c:numCache>
                <c:formatCode>General</c:formatCode>
                <c:ptCount val="8"/>
                <c:pt idx="0">
                  <c:v>0.63196300855270704</c:v>
                </c:pt>
                <c:pt idx="1">
                  <c:v>0.23206713986232722</c:v>
                </c:pt>
                <c:pt idx="2">
                  <c:v>0.76237848353817961</c:v>
                </c:pt>
                <c:pt idx="3">
                  <c:v>0.14324241010560032</c:v>
                </c:pt>
                <c:pt idx="4">
                  <c:v>0.2439327837364095</c:v>
                </c:pt>
                <c:pt idx="5">
                  <c:v>0.40837072717877526</c:v>
                </c:pt>
                <c:pt idx="6">
                  <c:v>0.14772734028798973</c:v>
                </c:pt>
                <c:pt idx="7">
                  <c:v>0.12390467245440794</c:v>
                </c:pt>
              </c:numCache>
            </c:numRef>
          </c:val>
          <c:extLst>
            <c:ext xmlns:c16="http://schemas.microsoft.com/office/drawing/2014/chart" uri="{C3380CC4-5D6E-409C-BE32-E72D297353CC}">
              <c16:uniqueId val="{0000001A-14D3-45C9-8F35-F5BCDF76D588}"/>
            </c:ext>
          </c:extLst>
        </c:ser>
        <c:dLbls>
          <c:showLegendKey val="0"/>
          <c:showVal val="0"/>
          <c:showCatName val="0"/>
          <c:showSerName val="0"/>
          <c:showPercent val="0"/>
          <c:showBubbleSize val="0"/>
        </c:dLbls>
        <c:gapWidth val="150"/>
        <c:axId val="539078888"/>
        <c:axId val="539079216"/>
      </c:barChart>
      <c:catAx>
        <c:axId val="53907888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39079216"/>
        <c:crosses val="autoZero"/>
        <c:auto val="1"/>
        <c:lblAlgn val="ctr"/>
        <c:lblOffset val="100"/>
        <c:noMultiLvlLbl val="0"/>
      </c:catAx>
      <c:valAx>
        <c:axId val="539079216"/>
        <c:scaling>
          <c:orientation val="minMax"/>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de-DE" sz="1200"/>
                  <a:t> relative units</a:t>
                </a:r>
              </a:p>
            </c:rich>
          </c:tx>
          <c:layout>
            <c:manualLayout>
              <c:xMode val="edge"/>
              <c:yMode val="edge"/>
              <c:x val="1.3055327618415768E-2"/>
              <c:y val="0.15041394579506887"/>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 sourceLinked="0"/>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39078888"/>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sz="900" b="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640924436651382E-2"/>
          <c:y val="4.8375689565750384E-2"/>
          <c:w val="0.88215399249590443"/>
          <c:h val="0.50153561840412186"/>
        </c:manualLayout>
      </c:layout>
      <c:barChart>
        <c:barDir val="col"/>
        <c:grouping val="clustered"/>
        <c:varyColors val="0"/>
        <c:ser>
          <c:idx val="1"/>
          <c:order val="0"/>
          <c:tx>
            <c:strRef>
              <c:f>'Zuordnung zu Proben, Norm'!$F$40</c:f>
              <c:strCache>
                <c:ptCount val="1"/>
                <c:pt idx="0">
                  <c:v>Mittelwert</c:v>
                </c:pt>
              </c:strCache>
            </c:strRef>
          </c:tx>
          <c:spPr>
            <a:solidFill>
              <a:srgbClr val="76D6FF"/>
            </a:solidFill>
            <a:ln w="12700">
              <a:solidFill>
                <a:schemeClr val="tx1"/>
              </a:solidFill>
            </a:ln>
            <a:effectLst/>
          </c:spPr>
          <c:invertIfNegative val="0"/>
          <c:dPt>
            <c:idx val="0"/>
            <c:invertIfNegative val="0"/>
            <c:bubble3D val="0"/>
            <c:spPr>
              <a:solidFill>
                <a:srgbClr val="99FFCC"/>
              </a:solidFill>
              <a:ln w="12700">
                <a:solidFill>
                  <a:schemeClr val="tx1"/>
                </a:solidFill>
              </a:ln>
              <a:effectLst/>
            </c:spPr>
            <c:extLst>
              <c:ext xmlns:c16="http://schemas.microsoft.com/office/drawing/2014/chart" uri="{C3380CC4-5D6E-409C-BE32-E72D297353CC}">
                <c16:uniqueId val="{00000001-E64C-4D9E-BCB5-3EB0AE5D8A46}"/>
              </c:ext>
            </c:extLst>
          </c:dPt>
          <c:dPt>
            <c:idx val="1"/>
            <c:invertIfNegative val="0"/>
            <c:bubble3D val="0"/>
            <c:spPr>
              <a:solidFill>
                <a:srgbClr val="FFFF99"/>
              </a:solidFill>
              <a:ln w="12700">
                <a:solidFill>
                  <a:schemeClr val="tx1"/>
                </a:solidFill>
              </a:ln>
              <a:effectLst/>
            </c:spPr>
            <c:extLst>
              <c:ext xmlns:c16="http://schemas.microsoft.com/office/drawing/2014/chart" uri="{C3380CC4-5D6E-409C-BE32-E72D297353CC}">
                <c16:uniqueId val="{00000003-E64C-4D9E-BCB5-3EB0AE5D8A46}"/>
              </c:ext>
            </c:extLst>
          </c:dPt>
          <c:dPt>
            <c:idx val="2"/>
            <c:invertIfNegative val="0"/>
            <c:bubble3D val="0"/>
            <c:spPr>
              <a:solidFill>
                <a:srgbClr val="76D6FF"/>
              </a:solidFill>
              <a:ln w="12700">
                <a:solidFill>
                  <a:schemeClr val="tx1"/>
                </a:solidFill>
              </a:ln>
              <a:effectLst/>
            </c:spPr>
            <c:extLst>
              <c:ext xmlns:c16="http://schemas.microsoft.com/office/drawing/2014/chart" uri="{C3380CC4-5D6E-409C-BE32-E72D297353CC}">
                <c16:uniqueId val="{00000005-E64C-4D9E-BCB5-3EB0AE5D8A46}"/>
              </c:ext>
            </c:extLst>
          </c:dPt>
          <c:dPt>
            <c:idx val="3"/>
            <c:invertIfNegative val="0"/>
            <c:bubble3D val="0"/>
            <c:spPr>
              <a:solidFill>
                <a:srgbClr val="99FFCC"/>
              </a:solidFill>
              <a:ln w="12700">
                <a:solidFill>
                  <a:schemeClr val="tx1"/>
                </a:solidFill>
              </a:ln>
              <a:effectLst/>
            </c:spPr>
            <c:extLst>
              <c:ext xmlns:c16="http://schemas.microsoft.com/office/drawing/2014/chart" uri="{C3380CC4-5D6E-409C-BE32-E72D297353CC}">
                <c16:uniqueId val="{00000007-E64C-4D9E-BCB5-3EB0AE5D8A46}"/>
              </c:ext>
            </c:extLst>
          </c:dPt>
          <c:dPt>
            <c:idx val="4"/>
            <c:invertIfNegative val="0"/>
            <c:bubble3D val="0"/>
            <c:spPr>
              <a:solidFill>
                <a:srgbClr val="FFFF99"/>
              </a:solidFill>
              <a:ln w="12700">
                <a:solidFill>
                  <a:schemeClr val="tx1"/>
                </a:solidFill>
              </a:ln>
              <a:effectLst/>
            </c:spPr>
            <c:extLst>
              <c:ext xmlns:c16="http://schemas.microsoft.com/office/drawing/2014/chart" uri="{C3380CC4-5D6E-409C-BE32-E72D297353CC}">
                <c16:uniqueId val="{00000009-E64C-4D9E-BCB5-3EB0AE5D8A46}"/>
              </c:ext>
            </c:extLst>
          </c:dPt>
          <c:dPt>
            <c:idx val="5"/>
            <c:invertIfNegative val="0"/>
            <c:bubble3D val="0"/>
            <c:spPr>
              <a:solidFill>
                <a:srgbClr val="76D6FF"/>
              </a:solidFill>
              <a:ln w="12700">
                <a:solidFill>
                  <a:schemeClr val="tx1"/>
                </a:solidFill>
              </a:ln>
              <a:effectLst/>
            </c:spPr>
            <c:extLst>
              <c:ext xmlns:c16="http://schemas.microsoft.com/office/drawing/2014/chart" uri="{C3380CC4-5D6E-409C-BE32-E72D297353CC}">
                <c16:uniqueId val="{0000000B-E64C-4D9E-BCB5-3EB0AE5D8A46}"/>
              </c:ext>
            </c:extLst>
          </c:dPt>
          <c:dPt>
            <c:idx val="6"/>
            <c:invertIfNegative val="0"/>
            <c:bubble3D val="0"/>
            <c:spPr>
              <a:solidFill>
                <a:srgbClr val="99FFCC"/>
              </a:solidFill>
              <a:ln w="12700">
                <a:solidFill>
                  <a:schemeClr val="tx1"/>
                </a:solidFill>
              </a:ln>
              <a:effectLst/>
            </c:spPr>
            <c:extLst>
              <c:ext xmlns:c16="http://schemas.microsoft.com/office/drawing/2014/chart" uri="{C3380CC4-5D6E-409C-BE32-E72D297353CC}">
                <c16:uniqueId val="{0000000D-E64C-4D9E-BCB5-3EB0AE5D8A46}"/>
              </c:ext>
            </c:extLst>
          </c:dPt>
          <c:dPt>
            <c:idx val="7"/>
            <c:invertIfNegative val="0"/>
            <c:bubble3D val="0"/>
            <c:spPr>
              <a:solidFill>
                <a:srgbClr val="FFFF99"/>
              </a:solidFill>
              <a:ln w="12700">
                <a:solidFill>
                  <a:schemeClr val="tx1"/>
                </a:solidFill>
              </a:ln>
              <a:effectLst/>
            </c:spPr>
            <c:extLst>
              <c:ext xmlns:c16="http://schemas.microsoft.com/office/drawing/2014/chart" uri="{C3380CC4-5D6E-409C-BE32-E72D297353CC}">
                <c16:uniqueId val="{0000000F-E64C-4D9E-BCB5-3EB0AE5D8A46}"/>
              </c:ext>
            </c:extLst>
          </c:dPt>
          <c:dPt>
            <c:idx val="8"/>
            <c:invertIfNegative val="0"/>
            <c:bubble3D val="0"/>
            <c:spPr>
              <a:solidFill>
                <a:srgbClr val="76D6FF"/>
              </a:solidFill>
              <a:ln w="12700">
                <a:solidFill>
                  <a:schemeClr val="tx1"/>
                </a:solidFill>
              </a:ln>
              <a:effectLst/>
            </c:spPr>
            <c:extLst>
              <c:ext xmlns:c16="http://schemas.microsoft.com/office/drawing/2014/chart" uri="{C3380CC4-5D6E-409C-BE32-E72D297353CC}">
                <c16:uniqueId val="{00000011-E64C-4D9E-BCB5-3EB0AE5D8A46}"/>
              </c:ext>
            </c:extLst>
          </c:dPt>
          <c:dPt>
            <c:idx val="9"/>
            <c:invertIfNegative val="0"/>
            <c:bubble3D val="0"/>
            <c:spPr>
              <a:solidFill>
                <a:srgbClr val="FFFF99"/>
              </a:solidFill>
              <a:ln w="12700">
                <a:solidFill>
                  <a:schemeClr val="tx1"/>
                </a:solidFill>
              </a:ln>
              <a:effectLst/>
            </c:spPr>
            <c:extLst>
              <c:ext xmlns:c16="http://schemas.microsoft.com/office/drawing/2014/chart" uri="{C3380CC4-5D6E-409C-BE32-E72D297353CC}">
                <c16:uniqueId val="{00000013-E64C-4D9E-BCB5-3EB0AE5D8A46}"/>
              </c:ext>
            </c:extLst>
          </c:dPt>
          <c:dPt>
            <c:idx val="10"/>
            <c:invertIfNegative val="0"/>
            <c:bubble3D val="0"/>
            <c:spPr>
              <a:solidFill>
                <a:srgbClr val="FFCCFF"/>
              </a:solidFill>
              <a:ln w="12700">
                <a:solidFill>
                  <a:schemeClr val="tx1"/>
                </a:solidFill>
              </a:ln>
              <a:effectLst/>
            </c:spPr>
            <c:extLst>
              <c:ext xmlns:c16="http://schemas.microsoft.com/office/drawing/2014/chart" uri="{C3380CC4-5D6E-409C-BE32-E72D297353CC}">
                <c16:uniqueId val="{00000015-E64C-4D9E-BCB5-3EB0AE5D8A46}"/>
              </c:ext>
            </c:extLst>
          </c:dPt>
          <c:dPt>
            <c:idx val="11"/>
            <c:invertIfNegative val="0"/>
            <c:bubble3D val="0"/>
            <c:spPr>
              <a:solidFill>
                <a:srgbClr val="66CCFF"/>
              </a:solidFill>
              <a:ln w="12700">
                <a:solidFill>
                  <a:schemeClr val="tx1"/>
                </a:solidFill>
              </a:ln>
              <a:effectLst/>
            </c:spPr>
            <c:extLst>
              <c:ext xmlns:c16="http://schemas.microsoft.com/office/drawing/2014/chart" uri="{C3380CC4-5D6E-409C-BE32-E72D297353CC}">
                <c16:uniqueId val="{00000017-E64C-4D9E-BCB5-3EB0AE5D8A46}"/>
              </c:ext>
            </c:extLst>
          </c:dPt>
          <c:dPt>
            <c:idx val="12"/>
            <c:invertIfNegative val="0"/>
            <c:bubble3D val="0"/>
            <c:spPr>
              <a:solidFill>
                <a:srgbClr val="66CCFF"/>
              </a:solidFill>
              <a:ln w="12700">
                <a:solidFill>
                  <a:schemeClr val="tx1"/>
                </a:solidFill>
              </a:ln>
              <a:effectLst/>
            </c:spPr>
            <c:extLst>
              <c:ext xmlns:c16="http://schemas.microsoft.com/office/drawing/2014/chart" uri="{C3380CC4-5D6E-409C-BE32-E72D297353CC}">
                <c16:uniqueId val="{00000019-E64C-4D9E-BCB5-3EB0AE5D8A46}"/>
              </c:ext>
            </c:extLst>
          </c:dPt>
          <c:dPt>
            <c:idx val="14"/>
            <c:invertIfNegative val="0"/>
            <c:bubble3D val="0"/>
            <c:spPr>
              <a:solidFill>
                <a:srgbClr val="0096FF"/>
              </a:solidFill>
              <a:ln w="12700">
                <a:solidFill>
                  <a:schemeClr val="tx1"/>
                </a:solidFill>
              </a:ln>
              <a:effectLst/>
            </c:spPr>
            <c:extLst>
              <c:ext xmlns:c16="http://schemas.microsoft.com/office/drawing/2014/chart" uri="{C3380CC4-5D6E-409C-BE32-E72D297353CC}">
                <c16:uniqueId val="{0000001B-E64C-4D9E-BCB5-3EB0AE5D8A46}"/>
              </c:ext>
            </c:extLst>
          </c:dPt>
          <c:dPt>
            <c:idx val="15"/>
            <c:invertIfNegative val="0"/>
            <c:bubble3D val="0"/>
            <c:spPr>
              <a:solidFill>
                <a:srgbClr val="92D050"/>
              </a:solidFill>
              <a:ln w="12700">
                <a:solidFill>
                  <a:schemeClr val="tx1"/>
                </a:solidFill>
              </a:ln>
              <a:effectLst/>
            </c:spPr>
            <c:extLst>
              <c:ext xmlns:c16="http://schemas.microsoft.com/office/drawing/2014/chart" uri="{C3380CC4-5D6E-409C-BE32-E72D297353CC}">
                <c16:uniqueId val="{0000001D-E64C-4D9E-BCB5-3EB0AE5D8A46}"/>
              </c:ext>
            </c:extLst>
          </c:dPt>
          <c:errBars>
            <c:errBarType val="both"/>
            <c:errValType val="cust"/>
            <c:noEndCap val="0"/>
            <c:plus>
              <c:numRef>
                <c:f>'Zuordnung zu Proben, Norm'!$G$43:$G$48</c:f>
                <c:numCache>
                  <c:formatCode>General</c:formatCode>
                  <c:ptCount val="6"/>
                  <c:pt idx="0">
                    <c:v>0.16158534758096932</c:v>
                  </c:pt>
                  <c:pt idx="1">
                    <c:v>0.20401480560619684</c:v>
                  </c:pt>
                  <c:pt idx="2">
                    <c:v>4.8915704082905569E-2</c:v>
                  </c:pt>
                  <c:pt idx="3">
                    <c:v>7.6977784195240234E-2</c:v>
                  </c:pt>
                  <c:pt idx="4">
                    <c:v>3.0211653244767496E-2</c:v>
                  </c:pt>
                  <c:pt idx="5">
                    <c:v>7.3071018726438633E-2</c:v>
                  </c:pt>
                </c:numCache>
              </c:numRef>
            </c:plus>
            <c:minus>
              <c:numRef>
                <c:f>'Zuordnung zu Proben, Norm'!$G$43:$G$48</c:f>
                <c:numCache>
                  <c:formatCode>General</c:formatCode>
                  <c:ptCount val="6"/>
                  <c:pt idx="0">
                    <c:v>0.16158534758096932</c:v>
                  </c:pt>
                  <c:pt idx="1">
                    <c:v>0.20401480560619684</c:v>
                  </c:pt>
                  <c:pt idx="2">
                    <c:v>4.8915704082905569E-2</c:v>
                  </c:pt>
                  <c:pt idx="3">
                    <c:v>7.6977784195240234E-2</c:v>
                  </c:pt>
                  <c:pt idx="4">
                    <c:v>3.0211653244767496E-2</c:v>
                  </c:pt>
                  <c:pt idx="5">
                    <c:v>7.3071018726438633E-2</c:v>
                  </c:pt>
                </c:numCache>
              </c:numRef>
            </c:minus>
            <c:spPr>
              <a:noFill/>
              <a:ln w="9525" cap="flat" cmpd="sng" algn="ctr">
                <a:solidFill>
                  <a:schemeClr val="tx1">
                    <a:lumMod val="65000"/>
                    <a:lumOff val="35000"/>
                  </a:schemeClr>
                </a:solidFill>
                <a:round/>
              </a:ln>
              <a:effectLst/>
            </c:spPr>
          </c:errBars>
          <c:cat>
            <c:multiLvlStrRef>
              <c:f>'Zuordnung zu Proben, Norm'!$A$43:$C$48</c:f>
              <c:multiLvlStrCache>
                <c:ptCount val="6"/>
                <c:lvl>
                  <c:pt idx="0">
                    <c:v>Tygon 2375 NSF-51</c:v>
                  </c:pt>
                  <c:pt idx="1">
                    <c:v>Tygon F-4040-A</c:v>
                  </c:pt>
                  <c:pt idx="2">
                    <c:v>Silicone</c:v>
                  </c:pt>
                  <c:pt idx="3">
                    <c:v>Tygon 2375 NSF-51</c:v>
                  </c:pt>
                  <c:pt idx="4">
                    <c:v>Tygon F-4040-A</c:v>
                  </c:pt>
                  <c:pt idx="5">
                    <c:v>Silicone</c:v>
                  </c:pt>
                </c:lvl>
                <c:lvl>
                  <c:pt idx="0">
                    <c:v>tube</c:v>
                  </c:pt>
                  <c:pt idx="3">
                    <c:v>tube </c:v>
                  </c:pt>
                </c:lvl>
                <c:lvl>
                  <c:pt idx="0">
                    <c:v>naked mRNA</c:v>
                  </c:pt>
                  <c:pt idx="3">
                    <c:v>Lipoplexes</c:v>
                  </c:pt>
                </c:lvl>
              </c:multiLvlStrCache>
            </c:multiLvlStrRef>
          </c:cat>
          <c:val>
            <c:numRef>
              <c:f>'Zuordnung zu Proben, Norm'!$F$43:$F$48</c:f>
              <c:numCache>
                <c:formatCode>General</c:formatCode>
                <c:ptCount val="6"/>
                <c:pt idx="0">
                  <c:v>0.91424541996650832</c:v>
                </c:pt>
                <c:pt idx="1">
                  <c:v>0.88631813829724271</c:v>
                </c:pt>
                <c:pt idx="2">
                  <c:v>1.2684225415337125</c:v>
                </c:pt>
                <c:pt idx="3">
                  <c:v>0.84344431056441249</c:v>
                </c:pt>
                <c:pt idx="4">
                  <c:v>0.38736759432140783</c:v>
                </c:pt>
                <c:pt idx="5">
                  <c:v>0.63895759051705792</c:v>
                </c:pt>
              </c:numCache>
            </c:numRef>
          </c:val>
          <c:extLst>
            <c:ext xmlns:c16="http://schemas.microsoft.com/office/drawing/2014/chart" uri="{C3380CC4-5D6E-409C-BE32-E72D297353CC}">
              <c16:uniqueId val="{0000001E-E64C-4D9E-BCB5-3EB0AE5D8A46}"/>
            </c:ext>
          </c:extLst>
        </c:ser>
        <c:dLbls>
          <c:showLegendKey val="0"/>
          <c:showVal val="0"/>
          <c:showCatName val="0"/>
          <c:showSerName val="0"/>
          <c:showPercent val="0"/>
          <c:showBubbleSize val="0"/>
        </c:dLbls>
        <c:gapWidth val="150"/>
        <c:axId val="539078888"/>
        <c:axId val="539079216"/>
      </c:barChart>
      <c:catAx>
        <c:axId val="53907888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39079216"/>
        <c:crosses val="autoZero"/>
        <c:auto val="1"/>
        <c:lblAlgn val="ctr"/>
        <c:lblOffset val="100"/>
        <c:noMultiLvlLbl val="0"/>
      </c:catAx>
      <c:valAx>
        <c:axId val="539079216"/>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de-DE" sz="1200"/>
                  <a:t> relative units</a:t>
                </a:r>
              </a:p>
            </c:rich>
          </c:tx>
          <c:layout>
            <c:manualLayout>
              <c:xMode val="edge"/>
              <c:yMode val="edge"/>
              <c:x val="8.8018483881615144E-3"/>
              <c:y val="4.707464694014795E-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 sourceLinked="0"/>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39078888"/>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sz="1000" b="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3874C70D8C44D6B0BA71800E08656C"/>
        <w:category>
          <w:name w:val="General"/>
          <w:gallery w:val="placeholder"/>
        </w:category>
        <w:types>
          <w:type w:val="bbPlcHdr"/>
        </w:types>
        <w:behaviors>
          <w:behavior w:val="content"/>
        </w:behaviors>
        <w:guid w:val="{0CE55F09-29C6-4D1A-89F1-59EE4CB6303B}"/>
      </w:docPartPr>
      <w:docPartBody>
        <w:p w:rsidR="004A5D97" w:rsidRDefault="00623571" w:rsidP="00623571">
          <w:pPr>
            <w:pStyle w:val="F93874C70D8C44D6B0BA71800E08656C4"/>
          </w:pPr>
          <w:r w:rsidRPr="00160344">
            <w:rPr>
              <w:rStyle w:val="PlaceholderText"/>
              <w:color w:val="auto"/>
            </w:rPr>
            <w:t>Title of Your Paper</w:t>
          </w:r>
        </w:p>
      </w:docPartBody>
    </w:docPart>
    <w:docPart>
      <w:docPartPr>
        <w:name w:val="38BA82FFF2774C26AC6862CFB8BB55DB"/>
        <w:category>
          <w:name w:val="General"/>
          <w:gallery w:val="placeholder"/>
        </w:category>
        <w:types>
          <w:type w:val="bbPlcHdr"/>
        </w:types>
        <w:behaviors>
          <w:behavior w:val="content"/>
        </w:behaviors>
        <w:guid w:val="{BF2EA8B4-C61A-4653-9C63-BB7ECA0F24DD}"/>
      </w:docPartPr>
      <w:docPartBody>
        <w:p w:rsidR="004A5D97" w:rsidRDefault="00623571" w:rsidP="00623571">
          <w:pPr>
            <w:pStyle w:val="38BA82FFF2774C26AC6862CFB8BB55DB3"/>
          </w:pPr>
          <w:r w:rsidRPr="00160344">
            <w:rPr>
              <w:rStyle w:val="PlaceholderText"/>
              <w:color w:val="auto"/>
              <w:u w:val="single"/>
            </w:rPr>
            <w:t>Main Author</w:t>
          </w:r>
        </w:p>
      </w:docPartBody>
    </w:docPart>
    <w:docPart>
      <w:docPartPr>
        <w:name w:val="DB4FFB970BC84A61AC1D2BA9F92CDD55"/>
        <w:category>
          <w:name w:val="Allgemein"/>
          <w:gallery w:val="placeholder"/>
        </w:category>
        <w:types>
          <w:type w:val="bbPlcHdr"/>
        </w:types>
        <w:behaviors>
          <w:behavior w:val="content"/>
        </w:behaviors>
        <w:guid w:val="{B6E7E1AC-F0D7-4EA0-88A7-EF8E40A47D1E}"/>
      </w:docPartPr>
      <w:docPartBody>
        <w:p w:rsidR="00D22CDA" w:rsidRDefault="00D22CDA" w:rsidP="00D22CDA">
          <w:pPr>
            <w:pStyle w:val="DB4FFB970BC84A61AC1D2BA9F92CDD55"/>
          </w:pPr>
          <w:r w:rsidRPr="00160344">
            <w:rPr>
              <w:rStyle w:val="PlaceholderText"/>
              <w:color w:val="auto"/>
            </w:rPr>
            <w:t>Title of Your Paper</w:t>
          </w:r>
        </w:p>
      </w:docPartBody>
    </w:docPart>
    <w:docPart>
      <w:docPartPr>
        <w:name w:val="1228AE59C14E44A093FBC30EE833E25A"/>
        <w:category>
          <w:name w:val="Allgemein"/>
          <w:gallery w:val="placeholder"/>
        </w:category>
        <w:types>
          <w:type w:val="bbPlcHdr"/>
        </w:types>
        <w:behaviors>
          <w:behavior w:val="content"/>
        </w:behaviors>
        <w:guid w:val="{EBBCCB45-5D23-4878-8032-0D0A2E5355CD}"/>
      </w:docPartPr>
      <w:docPartBody>
        <w:p w:rsidR="00D22CDA" w:rsidRDefault="00D22CDA" w:rsidP="00D22CDA">
          <w:pPr>
            <w:pStyle w:val="1228AE59C14E44A093FBC30EE833E25A"/>
          </w:pPr>
          <w:r w:rsidRPr="00160344">
            <w:rPr>
              <w:rStyle w:val="PlaceholderText"/>
              <w:color w:val="auto"/>
              <w:u w:val="single"/>
            </w:rPr>
            <w:t>Main 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23571"/>
    <w:rsid w:val="00074500"/>
    <w:rsid w:val="00134A2D"/>
    <w:rsid w:val="001703F7"/>
    <w:rsid w:val="001D4D96"/>
    <w:rsid w:val="00252EDA"/>
    <w:rsid w:val="00283567"/>
    <w:rsid w:val="002E1776"/>
    <w:rsid w:val="003009AF"/>
    <w:rsid w:val="00332E70"/>
    <w:rsid w:val="003805BB"/>
    <w:rsid w:val="00397909"/>
    <w:rsid w:val="003F20B1"/>
    <w:rsid w:val="004A5D97"/>
    <w:rsid w:val="005025F8"/>
    <w:rsid w:val="005133FF"/>
    <w:rsid w:val="00623571"/>
    <w:rsid w:val="00834528"/>
    <w:rsid w:val="008E3168"/>
    <w:rsid w:val="00943A37"/>
    <w:rsid w:val="00964C28"/>
    <w:rsid w:val="009F0831"/>
    <w:rsid w:val="00AB0270"/>
    <w:rsid w:val="00AD0A82"/>
    <w:rsid w:val="00B01474"/>
    <w:rsid w:val="00B076DD"/>
    <w:rsid w:val="00C269FD"/>
    <w:rsid w:val="00CF1D98"/>
    <w:rsid w:val="00D113E5"/>
    <w:rsid w:val="00D22CDA"/>
    <w:rsid w:val="00D91192"/>
    <w:rsid w:val="00DB04D1"/>
    <w:rsid w:val="00DB70B4"/>
    <w:rsid w:val="00DC3004"/>
    <w:rsid w:val="00E60656"/>
    <w:rsid w:val="00F738B5"/>
    <w:rsid w:val="00FB16D6"/>
    <w:rsid w:val="00FE6D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5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2CDA"/>
    <w:rPr>
      <w:color w:val="808080"/>
    </w:rPr>
  </w:style>
  <w:style w:type="paragraph" w:customStyle="1" w:styleId="F93874C70D8C44D6B0BA71800E08656C4">
    <w:name w:val="F93874C70D8C44D6B0BA71800E08656C4"/>
    <w:rsid w:val="00623571"/>
    <w:pPr>
      <w:spacing w:after="280" w:line="240" w:lineRule="auto"/>
      <w:jc w:val="center"/>
      <w:outlineLvl w:val="0"/>
    </w:pPr>
    <w:rPr>
      <w:rFonts w:ascii="Arial" w:eastAsia="Times New Roman" w:hAnsi="Arial" w:cs="Times New Roman"/>
      <w:b/>
      <w:bCs/>
      <w:kern w:val="28"/>
      <w:sz w:val="18"/>
      <w:szCs w:val="32"/>
    </w:rPr>
  </w:style>
  <w:style w:type="paragraph" w:customStyle="1" w:styleId="38BA82FFF2774C26AC6862CFB8BB55DB3">
    <w:name w:val="38BA82FFF2774C26AC6862CFB8BB55DB3"/>
    <w:rsid w:val="00623571"/>
    <w:pPr>
      <w:spacing w:after="180" w:line="240" w:lineRule="auto"/>
      <w:jc w:val="center"/>
      <w:outlineLvl w:val="1"/>
    </w:pPr>
    <w:rPr>
      <w:rFonts w:ascii="Arial" w:eastAsia="Times New Roman" w:hAnsi="Arial" w:cs="Times New Roman"/>
      <w:b/>
      <w:sz w:val="18"/>
      <w:szCs w:val="24"/>
    </w:rPr>
  </w:style>
  <w:style w:type="paragraph" w:customStyle="1" w:styleId="DB4FFB970BC84A61AC1D2BA9F92CDD55">
    <w:name w:val="DB4FFB970BC84A61AC1D2BA9F92CDD55"/>
    <w:rsid w:val="00D22CDA"/>
  </w:style>
  <w:style w:type="paragraph" w:customStyle="1" w:styleId="1228AE59C14E44A093FBC30EE833E25A">
    <w:name w:val="1228AE59C14E44A093FBC30EE833E25A"/>
    <w:rsid w:val="00D22C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0022fe9-26d9-4c31-8678-3a6eabb28834" xsi:nil="true"/>
    <lcf76f155ced4ddcb4097134ff3c332f xmlns="64c78038-89ac-4195-83e1-1279128b6e0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F259E3E31D224CBC1D2EE3CF76D9A2" ma:contentTypeVersion="16" ma:contentTypeDescription="Create a new document." ma:contentTypeScope="" ma:versionID="3b77a0fe2d9c5f5fa8446f74fbabbb68">
  <xsd:schema xmlns:xsd="http://www.w3.org/2001/XMLSchema" xmlns:xs="http://www.w3.org/2001/XMLSchema" xmlns:p="http://schemas.microsoft.com/office/2006/metadata/properties" xmlns:ns2="64c78038-89ac-4195-83e1-1279128b6e0c" xmlns:ns3="00022fe9-26d9-4c31-8678-3a6eabb28834" targetNamespace="http://schemas.microsoft.com/office/2006/metadata/properties" ma:root="true" ma:fieldsID="705ba04dbffd1ec234430b0dd9b096d0" ns2:_="" ns3:_="">
    <xsd:import namespace="64c78038-89ac-4195-83e1-1279128b6e0c"/>
    <xsd:import namespace="00022fe9-26d9-4c31-8678-3a6eabb288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78038-89ac-4195-83e1-1279128b6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76672f0-0c0c-4f0d-ba1c-f52cb396b36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0022fe9-26d9-4c31-8678-3a6eabb2883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0154c5-9d40-4264-885d-38a3ec9d1022}" ma:internalName="TaxCatchAll" ma:showField="CatchAllData" ma:web="00022fe9-26d9-4c31-8678-3a6eabb288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19C885-08BC-46CD-AB96-671EC54B8782}">
  <ds:schemaRefs>
    <ds:schemaRef ds:uri="http://schemas.openxmlformats.org/officeDocument/2006/bibliography"/>
  </ds:schemaRefs>
</ds:datastoreItem>
</file>

<file path=customXml/itemProps2.xml><?xml version="1.0" encoding="utf-8"?>
<ds:datastoreItem xmlns:ds="http://schemas.openxmlformats.org/officeDocument/2006/customXml" ds:itemID="{6030BD7A-820B-4079-A950-7F0AAC7726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7B6F13B-659B-45A2-900D-D38920CCC2AF}"/>
</file>

<file path=customXml/itemProps4.xml><?xml version="1.0" encoding="utf-8"?>
<ds:datastoreItem xmlns:ds="http://schemas.openxmlformats.org/officeDocument/2006/customXml" ds:itemID="{FCA5D22E-BE9C-4A4D-97B4-7D4C5D48F5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2004</Words>
  <Characters>11423</Characters>
  <Application>Microsoft Office Word</Application>
  <DocSecurity>4</DocSecurity>
  <Lines>95</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Drug Delivery to the Lungs 20</vt:lpstr>
      <vt:lpstr>Drug Delivery to the Lungs 20</vt:lpstr>
    </vt:vector>
  </TitlesOfParts>
  <Company>3M</Company>
  <LinksUpToDate>false</LinksUpToDate>
  <CharactersWithSpaces>13401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Drug Delivery to the Lungs 20</dc:title>
  <dc:creator>UK000470</dc:creator>
  <cp:lastModifiedBy>Sheila Coates</cp:lastModifiedBy>
  <cp:revision>2</cp:revision>
  <cp:lastPrinted>2022-09-23T09:29:00Z</cp:lastPrinted>
  <dcterms:created xsi:type="dcterms:W3CDTF">2022-10-03T21:11:00Z</dcterms:created>
  <dcterms:modified xsi:type="dcterms:W3CDTF">2022-10-03T21:11:00Z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0x0101009EF259E3E31D224CBC1D2EE3CF76D9A2</vt:lpwstr>
  </property>
  <property fmtid="{D5CDD505-2E9C-101B-9397-08002B2CF9AE}" pid="3" name="GrammarlyDocumentId">
    <vt:lpwstr>e1e111254d0e6d604faffd5c204f7a6d1c0859b7d91e0027b8c8cf5408c50967</vt:lpwstr>
  </property>
</Properties>
</file>